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3A7D" w14:textId="77777777" w:rsidR="00723CA4" w:rsidRDefault="00723CA4" w:rsidP="0007709B">
      <w:pPr>
        <w:pStyle w:val="NoSpacing"/>
        <w:jc w:val="center"/>
        <w:rPr>
          <w:rFonts w:cstheme="minorHAnsi"/>
          <w:b/>
        </w:rPr>
      </w:pPr>
    </w:p>
    <w:p w14:paraId="0CFF048B" w14:textId="373D4ECB" w:rsidR="005F7376" w:rsidRDefault="00BA5F48" w:rsidP="0007709B">
      <w:pPr>
        <w:pStyle w:val="NoSpacing"/>
        <w:jc w:val="center"/>
        <w:rPr>
          <w:rFonts w:cstheme="minorHAnsi"/>
          <w:b/>
        </w:rPr>
      </w:pPr>
      <w:r>
        <w:rPr>
          <w:noProof/>
        </w:rPr>
        <w:drawing>
          <wp:inline distT="0" distB="0" distL="0" distR="0" wp14:anchorId="0481CA80" wp14:editId="54583D84">
            <wp:extent cx="1752600" cy="456565"/>
            <wp:effectExtent l="0" t="0" r="0" b="635"/>
            <wp:docPr id="1930155972" name="Picture 1" descr="A picture containing font, graphics, tex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155972" name="Picture 1" descr="A picture containing font, graphics, text, graphic design&#10;&#10;Description automatically generated"/>
                    <pic:cNvPicPr/>
                  </pic:nvPicPr>
                  <pic:blipFill>
                    <a:blip r:embed="rId5"/>
                    <a:stretch>
                      <a:fillRect/>
                    </a:stretch>
                  </pic:blipFill>
                  <pic:spPr>
                    <a:xfrm>
                      <a:off x="0" y="0"/>
                      <a:ext cx="1799009" cy="468655"/>
                    </a:xfrm>
                    <a:prstGeom prst="rect">
                      <a:avLst/>
                    </a:prstGeom>
                  </pic:spPr>
                </pic:pic>
              </a:graphicData>
            </a:graphic>
          </wp:inline>
        </w:drawing>
      </w:r>
    </w:p>
    <w:p w14:paraId="2AABBAFA" w14:textId="77777777" w:rsidR="00A468B8" w:rsidRDefault="00A468B8" w:rsidP="00A468B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Patanjali Foods Limited</w:t>
      </w:r>
    </w:p>
    <w:p w14:paraId="1930E030" w14:textId="77777777" w:rsidR="00A468B8" w:rsidRDefault="00A468B8" w:rsidP="00A468B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(Formerly known as Ruchi Soya Industries Limited)</w:t>
      </w:r>
    </w:p>
    <w:p w14:paraId="03156357" w14:textId="77777777" w:rsidR="00A468B8" w:rsidRDefault="00A468B8" w:rsidP="00A468B8">
      <w:pPr>
        <w:pStyle w:val="NoSpacing"/>
        <w:jc w:val="center"/>
        <w:rPr>
          <w:rFonts w:ascii="Times New Roman" w:hAnsi="Times New Roman" w:cs="Times New Roman"/>
          <w:sz w:val="24"/>
          <w:szCs w:val="24"/>
        </w:rPr>
      </w:pPr>
      <w:r>
        <w:rPr>
          <w:rFonts w:ascii="Times New Roman" w:hAnsi="Times New Roman" w:cs="Times New Roman"/>
          <w:b/>
          <w:bCs/>
          <w:sz w:val="24"/>
          <w:szCs w:val="24"/>
        </w:rPr>
        <w:t>CIN:</w:t>
      </w:r>
      <w:r>
        <w:rPr>
          <w:rFonts w:ascii="Times New Roman" w:hAnsi="Times New Roman" w:cs="Times New Roman"/>
          <w:sz w:val="24"/>
          <w:szCs w:val="24"/>
        </w:rPr>
        <w:t xml:space="preserve"> L15140MH1986PLC038536</w:t>
      </w:r>
    </w:p>
    <w:p w14:paraId="6690A22C" w14:textId="77777777" w:rsidR="00A468B8" w:rsidRDefault="00A468B8" w:rsidP="00A468B8">
      <w:pPr>
        <w:pStyle w:val="NoSpacing"/>
        <w:jc w:val="center"/>
        <w:rPr>
          <w:rFonts w:ascii="Times New Roman" w:hAnsi="Times New Roman" w:cs="Times New Roman"/>
          <w:sz w:val="24"/>
          <w:szCs w:val="24"/>
        </w:rPr>
      </w:pPr>
      <w:r>
        <w:rPr>
          <w:rFonts w:ascii="Times New Roman" w:hAnsi="Times New Roman" w:cs="Times New Roman"/>
          <w:b/>
          <w:bCs/>
          <w:sz w:val="24"/>
          <w:szCs w:val="24"/>
        </w:rPr>
        <w:t>Registered Office:</w:t>
      </w:r>
      <w:r>
        <w:rPr>
          <w:rFonts w:ascii="Times New Roman" w:hAnsi="Times New Roman" w:cs="Times New Roman"/>
          <w:sz w:val="24"/>
          <w:szCs w:val="24"/>
        </w:rPr>
        <w:t xml:space="preserve"> 616, </w:t>
      </w:r>
      <w:proofErr w:type="spellStart"/>
      <w:r>
        <w:rPr>
          <w:rFonts w:ascii="Times New Roman" w:hAnsi="Times New Roman" w:cs="Times New Roman"/>
          <w:sz w:val="24"/>
          <w:szCs w:val="24"/>
        </w:rPr>
        <w:t>Tulsiani</w:t>
      </w:r>
      <w:proofErr w:type="spellEnd"/>
      <w:r>
        <w:rPr>
          <w:rFonts w:ascii="Times New Roman" w:hAnsi="Times New Roman" w:cs="Times New Roman"/>
          <w:sz w:val="24"/>
          <w:szCs w:val="24"/>
        </w:rPr>
        <w:t xml:space="preserve"> Chambers, Nariman Point, Mumbai - 400065, Maharashtra, India</w:t>
      </w:r>
    </w:p>
    <w:p w14:paraId="55AA5A36" w14:textId="77777777" w:rsidR="00A468B8" w:rsidRDefault="00A468B8" w:rsidP="00A468B8">
      <w:pPr>
        <w:pStyle w:val="NoSpacing"/>
        <w:jc w:val="center"/>
        <w:rPr>
          <w:rFonts w:ascii="Times New Roman" w:hAnsi="Times New Roman" w:cs="Times New Roman"/>
          <w:sz w:val="24"/>
          <w:szCs w:val="24"/>
        </w:rPr>
      </w:pPr>
      <w:r>
        <w:rPr>
          <w:rFonts w:ascii="Times New Roman" w:hAnsi="Times New Roman" w:cs="Times New Roman"/>
          <w:b/>
          <w:bCs/>
          <w:sz w:val="24"/>
          <w:szCs w:val="24"/>
        </w:rPr>
        <w:t xml:space="preserve">Email: </w:t>
      </w:r>
      <w:hyperlink r:id="rId6" w:history="1">
        <w:r>
          <w:rPr>
            <w:rStyle w:val="Hyperlink"/>
            <w:rFonts w:ascii="Times New Roman" w:hAnsi="Times New Roman" w:cs="Times New Roman"/>
            <w:b/>
            <w:bCs/>
            <w:sz w:val="24"/>
            <w:szCs w:val="24"/>
          </w:rPr>
          <w:t>secretarial@patanjalifoods.co.in</w:t>
        </w:r>
      </w:hyperlink>
      <w:r>
        <w:rPr>
          <w:rFonts w:ascii="Times New Roman" w:hAnsi="Times New Roman" w:cs="Times New Roman"/>
          <w:sz w:val="24"/>
          <w:szCs w:val="24"/>
        </w:rPr>
        <w:t xml:space="preserve"> </w:t>
      </w:r>
      <w:r>
        <w:rPr>
          <w:rFonts w:ascii="Times New Roman" w:hAnsi="Times New Roman" w:cs="Times New Roman"/>
          <w:b/>
          <w:bCs/>
          <w:sz w:val="24"/>
          <w:szCs w:val="24"/>
        </w:rPr>
        <w:t>Telephone:</w:t>
      </w:r>
      <w:r>
        <w:rPr>
          <w:rFonts w:ascii="Times New Roman" w:hAnsi="Times New Roman" w:cs="Times New Roman"/>
          <w:sz w:val="24"/>
          <w:szCs w:val="24"/>
        </w:rPr>
        <w:t xml:space="preserve"> (+91-22) 22828172 / 69061600</w:t>
      </w:r>
    </w:p>
    <w:p w14:paraId="0353AD80" w14:textId="77777777" w:rsidR="00A468B8" w:rsidRDefault="00A468B8" w:rsidP="00A468B8">
      <w:pPr>
        <w:autoSpaceDE w:val="0"/>
        <w:autoSpaceDN w:val="0"/>
        <w:jc w:val="center"/>
        <w:rPr>
          <w:rStyle w:val="Hyperlink"/>
          <w:rFonts w:ascii="Calibri" w:hAnsi="Calibri" w:cs="Calibri"/>
          <w:lang w:val="en-US"/>
        </w:rPr>
      </w:pPr>
      <w:r>
        <w:rPr>
          <w:rFonts w:ascii="Times New Roman" w:hAnsi="Times New Roman" w:cs="Times New Roman"/>
          <w:b/>
          <w:bCs/>
          <w:sz w:val="24"/>
          <w:szCs w:val="24"/>
          <w:lang w:val="en-US"/>
        </w:rPr>
        <w:t>Website:</w:t>
      </w:r>
      <w:r>
        <w:rPr>
          <w:rFonts w:ascii="Times New Roman" w:hAnsi="Times New Roman" w:cs="Times New Roman"/>
          <w:sz w:val="24"/>
          <w:szCs w:val="24"/>
          <w:lang w:val="en-US"/>
        </w:rPr>
        <w:t xml:space="preserve"> </w:t>
      </w:r>
      <w:hyperlink r:id="rId7" w:history="1">
        <w:r>
          <w:rPr>
            <w:rStyle w:val="Hyperlink"/>
            <w:rFonts w:ascii="Times New Roman" w:hAnsi="Times New Roman" w:cs="Times New Roman"/>
            <w:sz w:val="24"/>
            <w:szCs w:val="24"/>
            <w:lang w:val="en-US"/>
          </w:rPr>
          <w:t>www.patanjalifoods.com</w:t>
        </w:r>
      </w:hyperlink>
    </w:p>
    <w:p w14:paraId="2853B217" w14:textId="35A1AADD" w:rsidR="00A468B8" w:rsidRDefault="00A468B8" w:rsidP="00A468B8">
      <w:pPr>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Date: July </w:t>
      </w:r>
      <w:r>
        <w:rPr>
          <w:rFonts w:ascii="Times New Roman" w:hAnsi="Times New Roman" w:cs="Times New Roman"/>
          <w:sz w:val="24"/>
          <w:szCs w:val="24"/>
          <w:lang w:val="en-US"/>
        </w:rPr>
        <w:t>4</w:t>
      </w:r>
      <w:r>
        <w:rPr>
          <w:rFonts w:ascii="Times New Roman" w:hAnsi="Times New Roman" w:cs="Times New Roman"/>
          <w:sz w:val="24"/>
          <w:szCs w:val="24"/>
          <w:lang w:val="en-US"/>
        </w:rPr>
        <w:t xml:space="preserve">, 2023 </w:t>
      </w:r>
    </w:p>
    <w:p w14:paraId="2DE3E70F" w14:textId="254589A5" w:rsidR="00A468B8" w:rsidRDefault="00A468B8" w:rsidP="00A468B8">
      <w:pPr>
        <w:rPr>
          <w:rFonts w:ascii="Times New Roman" w:hAnsi="Times New Roman" w:cs="Times New Roman"/>
          <w:sz w:val="24"/>
          <w:szCs w:val="24"/>
          <w:lang w:val="en-US"/>
        </w:rPr>
      </w:pPr>
      <w:r>
        <w:rPr>
          <w:rFonts w:ascii="Times New Roman" w:hAnsi="Times New Roman" w:cs="Times New Roman"/>
          <w:sz w:val="24"/>
          <w:szCs w:val="24"/>
          <w:lang w:val="en-US"/>
        </w:rPr>
        <w:t>Name of the Shareholder</w:t>
      </w:r>
      <w:r w:rsidRPr="00EB4EE9">
        <w:rPr>
          <w:rFonts w:ascii="Times New Roman" w:hAnsi="Times New Roman" w:cs="Times New Roman"/>
          <w:sz w:val="24"/>
          <w:szCs w:val="24"/>
          <w:lang w:val="en-US"/>
        </w:rPr>
        <w:t>:</w:t>
      </w:r>
    </w:p>
    <w:p w14:paraId="50523638" w14:textId="3E46A89A" w:rsidR="00A468B8" w:rsidRDefault="00A468B8" w:rsidP="00A468B8">
      <w:pPr>
        <w:rPr>
          <w:rFonts w:ascii="Times New Roman" w:hAnsi="Times New Roman" w:cs="Times New Roman"/>
          <w:sz w:val="24"/>
          <w:szCs w:val="24"/>
          <w:lang w:val="en-US"/>
        </w:rPr>
      </w:pPr>
      <w:r>
        <w:rPr>
          <w:rFonts w:ascii="Times New Roman" w:hAnsi="Times New Roman" w:cs="Times New Roman"/>
          <w:sz w:val="24"/>
          <w:szCs w:val="24"/>
          <w:lang w:val="en-US"/>
        </w:rPr>
        <w:t xml:space="preserve">Ref: Folio / DP Id &amp; Client Id No: </w:t>
      </w:r>
    </w:p>
    <w:p w14:paraId="7CF6D19D" w14:textId="77777777" w:rsidR="00A468B8" w:rsidRDefault="00A468B8" w:rsidP="00A468B8">
      <w:pPr>
        <w:rPr>
          <w:rFonts w:ascii="Times New Roman" w:hAnsi="Times New Roman" w:cs="Times New Roman"/>
          <w:sz w:val="24"/>
          <w:szCs w:val="24"/>
          <w:lang w:val="en-US"/>
        </w:rPr>
      </w:pPr>
    </w:p>
    <w:p w14:paraId="23D47AFC" w14:textId="77777777" w:rsidR="00A468B8" w:rsidRDefault="00A468B8" w:rsidP="00A468B8">
      <w:pPr>
        <w:shd w:val="clear" w:color="auto" w:fill="FFFFFF"/>
        <w:jc w:val="both"/>
        <w:rPr>
          <w:rFonts w:ascii="Times New Roman" w:hAnsi="Times New Roman" w:cs="Times New Roman"/>
          <w:b/>
          <w:bCs/>
          <w:color w:val="222222"/>
          <w:sz w:val="24"/>
          <w:szCs w:val="24"/>
          <w:u w:val="single"/>
        </w:rPr>
      </w:pPr>
      <w:r>
        <w:rPr>
          <w:rFonts w:ascii="Times New Roman" w:hAnsi="Times New Roman" w:cs="Times New Roman"/>
          <w:b/>
          <w:bCs/>
          <w:color w:val="222222"/>
          <w:sz w:val="24"/>
          <w:szCs w:val="24"/>
        </w:rPr>
        <w:t xml:space="preserve">Subject:  </w:t>
      </w:r>
      <w:r>
        <w:rPr>
          <w:rFonts w:ascii="Times New Roman" w:hAnsi="Times New Roman" w:cs="Times New Roman"/>
          <w:b/>
          <w:bCs/>
          <w:color w:val="222222"/>
          <w:sz w:val="24"/>
          <w:szCs w:val="24"/>
          <w:u w:val="single"/>
        </w:rPr>
        <w:t>Tax deduction at source on dividend</w:t>
      </w:r>
    </w:p>
    <w:p w14:paraId="297ECE45" w14:textId="77777777" w:rsidR="00A468B8" w:rsidRDefault="00A468B8" w:rsidP="00A468B8">
      <w:pPr>
        <w:shd w:val="clear" w:color="auto" w:fill="FFFFFF"/>
        <w:jc w:val="both"/>
        <w:rPr>
          <w:rFonts w:ascii="Times New Roman" w:hAnsi="Times New Roman" w:cs="Times New Roman"/>
          <w:color w:val="222222"/>
          <w:sz w:val="24"/>
          <w:szCs w:val="24"/>
          <w:lang w:val="en-US"/>
          <w14:ligatures w14:val="standardContextual"/>
        </w:rPr>
      </w:pPr>
    </w:p>
    <w:p w14:paraId="00BBF3CE" w14:textId="77777777" w:rsidR="00A468B8" w:rsidRDefault="00A468B8" w:rsidP="00A468B8">
      <w:pPr>
        <w:rPr>
          <w:rFonts w:ascii="Times New Roman" w:hAnsi="Times New Roman" w:cs="Times New Roman"/>
          <w:sz w:val="24"/>
          <w:szCs w:val="24"/>
          <w:lang w:val="en-US"/>
        </w:rPr>
      </w:pPr>
      <w:r>
        <w:rPr>
          <w:rFonts w:ascii="Times New Roman" w:hAnsi="Times New Roman" w:cs="Times New Roman"/>
          <w:sz w:val="24"/>
          <w:szCs w:val="24"/>
          <w:lang w:val="en-US"/>
        </w:rPr>
        <w:t xml:space="preserve">Dear Shareholder(s), </w:t>
      </w:r>
    </w:p>
    <w:p w14:paraId="1183C6EA" w14:textId="55386A1D" w:rsidR="00A468B8" w:rsidRDefault="00A468B8" w:rsidP="00A468B8">
      <w:pPr>
        <w:shd w:val="clear" w:color="auto" w:fill="FFFFFF"/>
        <w:jc w:val="both"/>
        <w:rPr>
          <w:rFonts w:ascii="Times New Roman" w:hAnsi="Times New Roman" w:cs="Times New Roman"/>
          <w:color w:val="222222"/>
          <w:sz w:val="24"/>
          <w:szCs w:val="24"/>
          <w:lang w:val="en-US"/>
        </w:rPr>
      </w:pPr>
      <w:r>
        <w:rPr>
          <w:rFonts w:ascii="Times New Roman" w:hAnsi="Times New Roman" w:cs="Times New Roman"/>
          <w:color w:val="000000"/>
          <w:sz w:val="24"/>
          <w:szCs w:val="24"/>
          <w:lang w:val="en-US"/>
        </w:rPr>
        <w:t>Trust</w:t>
      </w:r>
      <w:r w:rsidR="00193E1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you and your family are safe and in good health.</w:t>
      </w:r>
    </w:p>
    <w:p w14:paraId="591E8F39" w14:textId="77777777" w:rsidR="00A468B8" w:rsidRDefault="00A468B8" w:rsidP="00A468B8">
      <w:pPr>
        <w:shd w:val="clear" w:color="auto" w:fill="FFFFFF"/>
        <w:jc w:val="both"/>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We would like to inform you that the Board of Directors of Patanjali Foods Limited (</w:t>
      </w:r>
      <w:r>
        <w:rPr>
          <w:rFonts w:ascii="Times New Roman" w:hAnsi="Times New Roman" w:cs="Times New Roman"/>
          <w:color w:val="000000"/>
          <w:sz w:val="24"/>
          <w:szCs w:val="24"/>
          <w:lang w:val="en-US"/>
        </w:rPr>
        <w:t>formerly known as Ruchi Soya Industries Limited)</w:t>
      </w:r>
      <w:r>
        <w:rPr>
          <w:rFonts w:ascii="Times New Roman" w:hAnsi="Times New Roman" w:cs="Times New Roman"/>
          <w:b/>
          <w:bCs/>
          <w:color w:val="222222"/>
          <w:sz w:val="24"/>
          <w:szCs w:val="24"/>
          <w:lang w:val="en-US"/>
        </w:rPr>
        <w:t xml:space="preserve"> (“the Company”)</w:t>
      </w:r>
      <w:r>
        <w:rPr>
          <w:rFonts w:ascii="Times New Roman" w:hAnsi="Times New Roman" w:cs="Times New Roman"/>
          <w:color w:val="222222"/>
          <w:sz w:val="24"/>
          <w:szCs w:val="24"/>
          <w:lang w:val="en-US"/>
        </w:rPr>
        <w:t xml:space="preserve"> at its meeting held on May 30, 2023, had recommended dividend of Rs. 6/- (300%) per equity share having face value of Rs. 2/- per share for the financial year ended March 31, 2023 subject to approval of shareholders at the ensuing Annual General Meeting (“AGM”). The dividend will be paid to the eligible shareholders as on the record date.</w:t>
      </w:r>
    </w:p>
    <w:p w14:paraId="04695DEB" w14:textId="77777777" w:rsidR="00A468B8" w:rsidRDefault="00A468B8" w:rsidP="00A468B8">
      <w:pPr>
        <w:shd w:val="clear" w:color="auto" w:fill="FFFFFF"/>
        <w:jc w:val="both"/>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br/>
        <w:t xml:space="preserve">In terms of the provisions of the Income-tax Act, 1961 </w:t>
      </w:r>
      <w:r>
        <w:rPr>
          <w:rFonts w:ascii="Times New Roman" w:hAnsi="Times New Roman" w:cs="Times New Roman"/>
          <w:b/>
          <w:bCs/>
          <w:color w:val="222222"/>
          <w:sz w:val="24"/>
          <w:szCs w:val="24"/>
          <w:lang w:val="en-US"/>
        </w:rPr>
        <w:t>("the Act") as amended by the Finance Act, 2023</w:t>
      </w:r>
      <w:r>
        <w:rPr>
          <w:rFonts w:ascii="Times New Roman" w:hAnsi="Times New Roman" w:cs="Times New Roman"/>
          <w:color w:val="222222"/>
          <w:sz w:val="24"/>
          <w:szCs w:val="24"/>
          <w:lang w:val="en-US"/>
        </w:rPr>
        <w:t>, dividend paid or distributed by a Company is taxable in the hands of the shareholders and therefore the Company is required to withhold/ deduct taxes at the prescribed rates on the dividend paid or distributed to its shareholders. The tax rates would vary depending on the residential status of the shareholder and the exemptions as enumerated in the Income Tax Act, 1961 and Rules made thereunder, subject to fulfilling the documentary requirements as explained herein below</w:t>
      </w:r>
    </w:p>
    <w:p w14:paraId="5944BC8A" w14:textId="77777777" w:rsidR="00A468B8" w:rsidRDefault="00A468B8" w:rsidP="00A468B8">
      <w:pPr>
        <w:jc w:val="both"/>
        <w:rPr>
          <w:rFonts w:ascii="Times New Roman" w:hAnsi="Times New Roman" w:cs="Times New Roman"/>
          <w:sz w:val="24"/>
          <w:szCs w:val="24"/>
          <w:lang w:val="en-US"/>
        </w:rPr>
      </w:pPr>
      <w:r>
        <w:rPr>
          <w:rFonts w:ascii="Times New Roman" w:hAnsi="Times New Roman" w:cs="Times New Roman"/>
          <w:sz w:val="24"/>
          <w:szCs w:val="24"/>
          <w:lang w:val="en-US"/>
        </w:rPr>
        <w:br/>
        <w:t>All shareholders are requested to ensure that the details such as Permanent Account Number (“</w:t>
      </w:r>
      <w:r>
        <w:rPr>
          <w:rFonts w:ascii="Times New Roman" w:hAnsi="Times New Roman" w:cs="Times New Roman"/>
          <w:b/>
          <w:bCs/>
          <w:sz w:val="24"/>
          <w:szCs w:val="24"/>
          <w:lang w:val="en-US"/>
        </w:rPr>
        <w:t>PAN</w:t>
      </w:r>
      <w:r>
        <w:rPr>
          <w:rFonts w:ascii="Times New Roman" w:hAnsi="Times New Roman" w:cs="Times New Roman"/>
          <w:sz w:val="24"/>
          <w:szCs w:val="24"/>
          <w:lang w:val="en-US"/>
        </w:rPr>
        <w:t xml:space="preserve">”), residential status, category of shareholder (e.g. Domestic Company, Foreign Company, Individual, Firm, LLP, HUF, Foreign Portfolio Investors / Foreign Institutional Investors, Government, Trust, Alternate Investment Fund - Category I, II or III, etc.), email id and address, bank mandate are updated, in their respective </w:t>
      </w:r>
      <w:proofErr w:type="spellStart"/>
      <w:r>
        <w:rPr>
          <w:rFonts w:ascii="Times New Roman" w:hAnsi="Times New Roman" w:cs="Times New Roman"/>
          <w:sz w:val="24"/>
          <w:szCs w:val="24"/>
          <w:lang w:val="en-US"/>
        </w:rPr>
        <w:t>demat</w:t>
      </w:r>
      <w:proofErr w:type="spellEnd"/>
      <w:r>
        <w:rPr>
          <w:rFonts w:ascii="Times New Roman" w:hAnsi="Times New Roman" w:cs="Times New Roman"/>
          <w:sz w:val="24"/>
          <w:szCs w:val="24"/>
          <w:lang w:val="en-US"/>
        </w:rPr>
        <w:t xml:space="preserve"> account(s) maintained with the Depository Participants. Please note that these details as available on Record Date in the Register of Members will be relied upon by the Company for the purpose of complying with the applicable withholding tax provisions.</w:t>
      </w:r>
    </w:p>
    <w:p w14:paraId="3D01CE81" w14:textId="77777777" w:rsidR="00A468B8" w:rsidRDefault="00A468B8" w:rsidP="00A468B8">
      <w:pPr>
        <w:jc w:val="both"/>
        <w:rPr>
          <w:rFonts w:ascii="Times New Roman" w:hAnsi="Times New Roman" w:cs="Times New Roman"/>
          <w:sz w:val="24"/>
          <w:szCs w:val="24"/>
          <w:lang w:val="en-US"/>
        </w:rPr>
      </w:pPr>
    </w:p>
    <w:p w14:paraId="095BF293" w14:textId="77777777" w:rsidR="00A468B8" w:rsidRDefault="00A468B8" w:rsidP="00A468B8">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tax deducted at source (“</w:t>
      </w:r>
      <w:r>
        <w:rPr>
          <w:rFonts w:ascii="Times New Roman" w:hAnsi="Times New Roman" w:cs="Times New Roman"/>
          <w:b/>
          <w:bCs/>
          <w:sz w:val="24"/>
          <w:szCs w:val="24"/>
          <w:lang w:val="en-US"/>
        </w:rPr>
        <w:t>TDS</w:t>
      </w:r>
      <w:r>
        <w:rPr>
          <w:rFonts w:ascii="Times New Roman" w:hAnsi="Times New Roman" w:cs="Times New Roman"/>
          <w:sz w:val="24"/>
          <w:szCs w:val="24"/>
          <w:lang w:val="en-US"/>
        </w:rPr>
        <w:t>”)/ withholding tax provisions for both categories of shareholders viz. Resident and Non-Resident are detailed below:</w:t>
      </w:r>
    </w:p>
    <w:p w14:paraId="27759E5C" w14:textId="77777777" w:rsidR="00A468B8" w:rsidRDefault="00A468B8" w:rsidP="00A468B8">
      <w:pPr>
        <w:jc w:val="both"/>
        <w:rPr>
          <w:rFonts w:ascii="Times New Roman" w:hAnsi="Times New Roman" w:cs="Times New Roman"/>
          <w:sz w:val="24"/>
          <w:szCs w:val="24"/>
          <w:lang w:val="en-US"/>
        </w:rPr>
      </w:pPr>
      <w:r>
        <w:rPr>
          <w:rFonts w:ascii="Times New Roman" w:hAnsi="Times New Roman" w:cs="Times New Roman"/>
          <w:b/>
          <w:bCs/>
          <w:sz w:val="24"/>
          <w:szCs w:val="24"/>
          <w:lang w:val="en-US"/>
        </w:rPr>
        <w:t>I.          Resident Shareholders:</w:t>
      </w:r>
    </w:p>
    <w:p w14:paraId="664908A9" w14:textId="77777777" w:rsidR="00A468B8" w:rsidRDefault="00A468B8" w:rsidP="00A468B8">
      <w:pPr>
        <w:jc w:val="both"/>
        <w:rPr>
          <w:rFonts w:ascii="Times New Roman" w:hAnsi="Times New Roman" w:cs="Times New Roman"/>
          <w:sz w:val="24"/>
          <w:szCs w:val="24"/>
          <w:lang w:val="en-US"/>
        </w:rPr>
      </w:pPr>
      <w:r>
        <w:rPr>
          <w:rFonts w:ascii="Times New Roman" w:hAnsi="Times New Roman" w:cs="Times New Roman"/>
          <w:sz w:val="24"/>
          <w:szCs w:val="24"/>
          <w:lang w:val="en-US"/>
        </w:rPr>
        <w:t>In respect of resident shareholders, tax will be deducted at source under Section 194 of the Act @ 10% on the amount of dividend payable unless exempt under any of the provisions of the Act subject to fulfilment of the following conditions:</w:t>
      </w:r>
    </w:p>
    <w:p w14:paraId="1ADE220D" w14:textId="77777777" w:rsidR="00A468B8" w:rsidRDefault="00A468B8" w:rsidP="00A468B8">
      <w:pPr>
        <w:numPr>
          <w:ilvl w:val="0"/>
          <w:numId w:val="1"/>
        </w:numPr>
        <w:spacing w:before="225" w:after="100" w:afterAutospacing="1" w:line="24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Valid PAN will be mandatorily required.</w:t>
      </w:r>
    </w:p>
    <w:p w14:paraId="56CCFA5A" w14:textId="77777777" w:rsidR="00A468B8" w:rsidRDefault="00A468B8" w:rsidP="00A468B8">
      <w:pPr>
        <w:numPr>
          <w:ilvl w:val="0"/>
          <w:numId w:val="1"/>
        </w:numPr>
        <w:spacing w:before="225" w:after="100" w:afterAutospacing="1" w:line="24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Shareholders holding shares under multiple accounts under different status/ category (e.g., Resident and Non-Resident) and single PAN, may note that, higher of the tax as applicable to the status in which shares held under a PAN will be considered on their entire holding in different accounts.</w:t>
      </w:r>
    </w:p>
    <w:p w14:paraId="10AD404A" w14:textId="77777777" w:rsidR="00A468B8" w:rsidRDefault="00A468B8" w:rsidP="00A468B8">
      <w:pPr>
        <w:numPr>
          <w:ilvl w:val="0"/>
          <w:numId w:val="1"/>
        </w:numPr>
        <w:spacing w:before="225" w:after="100" w:afterAutospacing="1" w:line="24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For shareholders who are identified as "Specified Persons" under Section 206AB of the Act, higher tax rate as applicable would be deducted. For the purpose of TDS, Company will verify the status (i.e., Specified Person or not) from the Government enabled online facility and deduct TDS accordingly.</w:t>
      </w:r>
    </w:p>
    <w:p w14:paraId="61881871" w14:textId="77777777" w:rsidR="00A468B8" w:rsidRDefault="00A468B8" w:rsidP="00A468B8">
      <w:pPr>
        <w:numPr>
          <w:ilvl w:val="0"/>
          <w:numId w:val="1"/>
        </w:numPr>
        <w:spacing w:before="225" w:after="100" w:afterAutospacing="1" w:line="24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For shareholders who have not linked PAN and Aadhar, the PAN will be considered as invalid and higher rate of taxes shall apply (applicable if dividend is declared, distributed or paid on or after July 1, 2023, subject to any further relaxation as may be provided by the Central Board of Direct Taxes (CBDT))</w:t>
      </w:r>
    </w:p>
    <w:p w14:paraId="3D1EA4C8" w14:textId="77777777" w:rsidR="00A468B8" w:rsidRDefault="00A468B8" w:rsidP="00A468B8">
      <w:pPr>
        <w:jc w:val="both"/>
        <w:rPr>
          <w:rFonts w:ascii="Times New Roman" w:hAnsi="Times New Roman" w:cs="Times New Roman"/>
          <w:sz w:val="24"/>
          <w:szCs w:val="24"/>
          <w:lang w:val="en-US"/>
        </w:rPr>
      </w:pPr>
      <w:r>
        <w:rPr>
          <w:rFonts w:ascii="Times New Roman" w:hAnsi="Times New Roman" w:cs="Times New Roman"/>
          <w:sz w:val="24"/>
          <w:szCs w:val="24"/>
          <w:lang w:val="en-US"/>
        </w:rPr>
        <w:t>Apart from the above, specific provisions applicable to Resident-Individuals and Resident Non-Individuals are given below for ready reference.</w:t>
      </w:r>
    </w:p>
    <w:p w14:paraId="5BA45E8D" w14:textId="77777777" w:rsidR="00A468B8" w:rsidRDefault="00A468B8" w:rsidP="00A468B8">
      <w:pPr>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IA.       Resident Shareholders (Individual(s) </w:t>
      </w:r>
      <w:r>
        <w:rPr>
          <w:rFonts w:ascii="Times New Roman" w:hAnsi="Times New Roman" w:cs="Times New Roman"/>
          <w:sz w:val="24"/>
          <w:szCs w:val="24"/>
          <w:lang w:val="en-US"/>
        </w:rPr>
        <w:t>:</w:t>
      </w:r>
    </w:p>
    <w:p w14:paraId="4BCC3584" w14:textId="77777777" w:rsidR="00A468B8" w:rsidRDefault="00A468B8" w:rsidP="00A468B8">
      <w:pPr>
        <w:numPr>
          <w:ilvl w:val="0"/>
          <w:numId w:val="2"/>
        </w:numPr>
        <w:spacing w:before="225" w:after="100" w:afterAutospacing="1" w:line="24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In case of individuals, TDS would not apply if the aggregate of total dividend paid to them by the Company under folio(s) during FY 2023-24 does not exceed Rs. 5,000/-.</w:t>
      </w:r>
    </w:p>
    <w:p w14:paraId="742DF12D" w14:textId="77777777" w:rsidR="00A468B8" w:rsidRDefault="00A468B8" w:rsidP="00A468B8">
      <w:pPr>
        <w:numPr>
          <w:ilvl w:val="0"/>
          <w:numId w:val="2"/>
        </w:numPr>
        <w:spacing w:before="225" w:after="100" w:afterAutospacing="1" w:line="24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Tax will not be deducted at source in cases where a shareholder provides duly signed Form 15G (applicable to an individual below the age of 60 years) / Form 15H (applicable to an individual of the age of 60 years and above), provided that the eligibility conditions are met. </w:t>
      </w:r>
    </w:p>
    <w:p w14:paraId="218A3E97" w14:textId="77777777" w:rsidR="00A468B8" w:rsidRDefault="00A468B8" w:rsidP="00A468B8">
      <w:pPr>
        <w:rPr>
          <w:rFonts w:ascii="Times New Roman" w:hAnsi="Times New Roman" w:cs="Times New Roman"/>
          <w:color w:val="0563C1"/>
          <w:sz w:val="24"/>
          <w:szCs w:val="24"/>
          <w:u w:val="single"/>
          <w:lang w:val="en-US"/>
        </w:rPr>
      </w:pPr>
      <w:r>
        <w:rPr>
          <w:rFonts w:ascii="Times New Roman" w:hAnsi="Times New Roman" w:cs="Times New Roman"/>
          <w:sz w:val="24"/>
          <w:szCs w:val="24"/>
          <w:lang w:val="en-US"/>
        </w:rPr>
        <w:t>            </w:t>
      </w:r>
      <w:hyperlink r:id="rId8" w:history="1">
        <w:r>
          <w:rPr>
            <w:rStyle w:val="Hyperlink"/>
            <w:rFonts w:ascii="Times New Roman" w:hAnsi="Times New Roman" w:cs="Times New Roman"/>
            <w:sz w:val="24"/>
            <w:szCs w:val="24"/>
            <w:lang w:val="en-US"/>
          </w:rPr>
          <w:t>Click here to download Form 15G</w:t>
        </w:r>
      </w:hyperlink>
    </w:p>
    <w:p w14:paraId="5ED4283C" w14:textId="77777777" w:rsidR="00A468B8" w:rsidRDefault="00A468B8" w:rsidP="00A468B8">
      <w:pPr>
        <w:ind w:left="720"/>
        <w:rPr>
          <w:rFonts w:ascii="Times New Roman" w:hAnsi="Times New Roman" w:cs="Times New Roman"/>
          <w:color w:val="0563C1"/>
          <w:sz w:val="24"/>
          <w:szCs w:val="24"/>
          <w:u w:val="single"/>
          <w:lang w:val="en-US"/>
        </w:rPr>
      </w:pPr>
      <w:hyperlink r:id="rId9" w:history="1">
        <w:r>
          <w:rPr>
            <w:rStyle w:val="Hyperlink"/>
            <w:rFonts w:ascii="Times New Roman" w:hAnsi="Times New Roman" w:cs="Times New Roman"/>
            <w:sz w:val="24"/>
            <w:szCs w:val="24"/>
            <w:lang w:val="en-US"/>
          </w:rPr>
          <w:t>Click here to download Form 15H</w:t>
        </w:r>
      </w:hyperlink>
    </w:p>
    <w:p w14:paraId="22A8CD62" w14:textId="77777777" w:rsidR="00A468B8" w:rsidRDefault="00A468B8" w:rsidP="00A468B8">
      <w:pPr>
        <w:numPr>
          <w:ilvl w:val="0"/>
          <w:numId w:val="2"/>
        </w:numPr>
        <w:spacing w:before="225" w:after="100" w:afterAutospacing="1" w:line="24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Valid PAN will be mandatorily required. However, if the PAN is not updated or is invalid or is deleted or becomes inoperative on account of non-linking with Aadhar then the higher rate as per the Act (i.e. 20%) would apply.</w:t>
      </w:r>
    </w:p>
    <w:p w14:paraId="40DBEA77" w14:textId="77777777" w:rsidR="00A468B8" w:rsidRDefault="00A468B8" w:rsidP="00A468B8">
      <w:pPr>
        <w:jc w:val="both"/>
        <w:rPr>
          <w:rFonts w:ascii="Times New Roman" w:hAnsi="Times New Roman" w:cs="Times New Roman"/>
          <w:sz w:val="24"/>
          <w:szCs w:val="24"/>
          <w:lang w:val="en-US"/>
        </w:rPr>
      </w:pPr>
      <w:r>
        <w:rPr>
          <w:rFonts w:ascii="Times New Roman" w:hAnsi="Times New Roman" w:cs="Times New Roman"/>
          <w:b/>
          <w:bCs/>
          <w:sz w:val="24"/>
          <w:szCs w:val="24"/>
          <w:lang w:val="en-US"/>
        </w:rPr>
        <w:t>IB.       Resident Shareholders (Other than Individuals):</w:t>
      </w:r>
    </w:p>
    <w:p w14:paraId="4FBEA41B" w14:textId="77777777" w:rsidR="00A468B8" w:rsidRDefault="00A468B8" w:rsidP="00A468B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rate of TDS for resident shareholders (other than individuals) along with required documents are provided in Table below: </w:t>
      </w:r>
    </w:p>
    <w:tbl>
      <w:tblPr>
        <w:tblW w:w="500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9"/>
        <w:gridCol w:w="2212"/>
        <w:gridCol w:w="5527"/>
      </w:tblGrid>
      <w:tr w:rsidR="00A468B8" w14:paraId="54CF918E" w14:textId="77777777" w:rsidTr="00930DC8">
        <w:trPr>
          <w:tblCellSpacing w:w="0" w:type="dxa"/>
        </w:trPr>
        <w:tc>
          <w:tcPr>
            <w:tcW w:w="861"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FAA8795" w14:textId="77777777" w:rsidR="00A468B8" w:rsidRDefault="00A468B8">
            <w:pPr>
              <w:jc w:val="center"/>
              <w:rPr>
                <w:rFonts w:ascii="Times New Roman" w:hAnsi="Times New Roman" w:cs="Times New Roman"/>
                <w:b/>
                <w:bCs/>
                <w:sz w:val="24"/>
                <w:szCs w:val="24"/>
              </w:rPr>
            </w:pPr>
            <w:r>
              <w:rPr>
                <w:rFonts w:ascii="Times New Roman" w:hAnsi="Times New Roman" w:cs="Times New Roman"/>
                <w:b/>
                <w:bCs/>
                <w:sz w:val="24"/>
                <w:szCs w:val="24"/>
              </w:rPr>
              <w:t>Category of Shareholder</w:t>
            </w:r>
          </w:p>
        </w:tc>
        <w:tc>
          <w:tcPr>
            <w:tcW w:w="1183"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C204EEC" w14:textId="77777777" w:rsidR="00A468B8" w:rsidRDefault="00A468B8">
            <w:pPr>
              <w:jc w:val="center"/>
              <w:rPr>
                <w:rFonts w:ascii="Times New Roman" w:hAnsi="Times New Roman" w:cs="Times New Roman"/>
                <w:b/>
                <w:bCs/>
                <w:sz w:val="24"/>
                <w:szCs w:val="24"/>
              </w:rPr>
            </w:pPr>
            <w:r>
              <w:rPr>
                <w:rFonts w:ascii="Times New Roman" w:hAnsi="Times New Roman" w:cs="Times New Roman"/>
                <w:b/>
                <w:bCs/>
                <w:sz w:val="24"/>
                <w:szCs w:val="24"/>
              </w:rPr>
              <w:t>Tax Deduction Rate</w:t>
            </w:r>
          </w:p>
        </w:tc>
        <w:tc>
          <w:tcPr>
            <w:tcW w:w="2957"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E808DDF" w14:textId="77777777" w:rsidR="00A468B8" w:rsidRDefault="00A468B8">
            <w:pPr>
              <w:jc w:val="center"/>
              <w:rPr>
                <w:rFonts w:ascii="Times New Roman" w:hAnsi="Times New Roman" w:cs="Times New Roman"/>
                <w:b/>
                <w:bCs/>
                <w:sz w:val="24"/>
                <w:szCs w:val="24"/>
              </w:rPr>
            </w:pPr>
            <w:r>
              <w:rPr>
                <w:rFonts w:ascii="Times New Roman" w:hAnsi="Times New Roman" w:cs="Times New Roman"/>
                <w:b/>
                <w:bCs/>
                <w:sz w:val="24"/>
                <w:szCs w:val="24"/>
              </w:rPr>
              <w:t>Exemption Applicability/ Documents required</w:t>
            </w:r>
          </w:p>
        </w:tc>
      </w:tr>
      <w:tr w:rsidR="00A468B8" w14:paraId="410FED60" w14:textId="77777777" w:rsidTr="00930DC8">
        <w:trPr>
          <w:tblCellSpacing w:w="0" w:type="dxa"/>
        </w:trPr>
        <w:tc>
          <w:tcPr>
            <w:tcW w:w="861"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A0FE401" w14:textId="77777777" w:rsidR="00A468B8" w:rsidRDefault="00A468B8">
            <w:pPr>
              <w:jc w:val="both"/>
              <w:rPr>
                <w:rFonts w:ascii="Times New Roman" w:hAnsi="Times New Roman" w:cs="Times New Roman"/>
                <w:sz w:val="24"/>
                <w:szCs w:val="24"/>
              </w:rPr>
            </w:pPr>
            <w:r>
              <w:rPr>
                <w:rFonts w:ascii="Times New Roman" w:hAnsi="Times New Roman" w:cs="Times New Roman"/>
                <w:sz w:val="24"/>
                <w:szCs w:val="24"/>
              </w:rPr>
              <w:lastRenderedPageBreak/>
              <w:t>Insurance Companies</w:t>
            </w:r>
          </w:p>
        </w:tc>
        <w:tc>
          <w:tcPr>
            <w:tcW w:w="1183"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EAAD807" w14:textId="77777777" w:rsidR="00A468B8" w:rsidRDefault="00A468B8">
            <w:pPr>
              <w:jc w:val="both"/>
              <w:rPr>
                <w:rFonts w:ascii="Times New Roman" w:hAnsi="Times New Roman" w:cs="Times New Roman"/>
                <w:sz w:val="24"/>
                <w:szCs w:val="24"/>
              </w:rPr>
            </w:pPr>
            <w:r>
              <w:rPr>
                <w:rFonts w:ascii="Times New Roman" w:hAnsi="Times New Roman" w:cs="Times New Roman"/>
                <w:sz w:val="24"/>
                <w:szCs w:val="24"/>
              </w:rPr>
              <w:t>NIL</w:t>
            </w:r>
          </w:p>
        </w:tc>
        <w:tc>
          <w:tcPr>
            <w:tcW w:w="2957"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B2E39F7" w14:textId="77777777" w:rsidR="00A468B8" w:rsidRDefault="00A468B8">
            <w:pPr>
              <w:jc w:val="both"/>
              <w:rPr>
                <w:rFonts w:ascii="Times New Roman" w:hAnsi="Times New Roman" w:cs="Times New Roman"/>
                <w:sz w:val="24"/>
                <w:szCs w:val="24"/>
              </w:rPr>
            </w:pPr>
            <w:r>
              <w:rPr>
                <w:rFonts w:ascii="Times New Roman" w:hAnsi="Times New Roman" w:cs="Times New Roman"/>
                <w:sz w:val="24"/>
                <w:szCs w:val="24"/>
              </w:rPr>
              <w:t xml:space="preserve">Documentary evidence that the provisions of Section 194 of the Act are not applicable to them: </w:t>
            </w:r>
          </w:p>
          <w:p w14:paraId="4772A620" w14:textId="77777777" w:rsidR="00A468B8" w:rsidRDefault="00A468B8" w:rsidP="00A468B8">
            <w:pPr>
              <w:numPr>
                <w:ilvl w:val="0"/>
                <w:numId w:val="3"/>
              </w:numPr>
              <w:spacing w:after="0" w:line="240" w:lineRule="auto"/>
              <w:ind w:left="473" w:hanging="473"/>
              <w:jc w:val="both"/>
              <w:rPr>
                <w:rFonts w:ascii="Times New Roman" w:hAnsi="Times New Roman" w:cs="Times New Roman"/>
                <w:sz w:val="24"/>
                <w:szCs w:val="24"/>
              </w:rPr>
            </w:pPr>
            <w:r>
              <w:rPr>
                <w:rFonts w:ascii="Times New Roman" w:hAnsi="Times New Roman" w:cs="Times New Roman"/>
                <w:sz w:val="24"/>
                <w:szCs w:val="24"/>
              </w:rPr>
              <w:t>PAN</w:t>
            </w:r>
          </w:p>
          <w:p w14:paraId="145BFAF6" w14:textId="77777777" w:rsidR="00A468B8" w:rsidRDefault="00A468B8" w:rsidP="00A468B8">
            <w:pPr>
              <w:numPr>
                <w:ilvl w:val="0"/>
                <w:numId w:val="3"/>
              </w:numPr>
              <w:spacing w:after="0" w:line="240" w:lineRule="auto"/>
              <w:ind w:left="473" w:hanging="473"/>
              <w:jc w:val="both"/>
              <w:rPr>
                <w:rFonts w:ascii="Times New Roman" w:hAnsi="Times New Roman" w:cs="Times New Roman"/>
                <w:sz w:val="24"/>
                <w:szCs w:val="24"/>
              </w:rPr>
            </w:pPr>
            <w:r>
              <w:rPr>
                <w:rFonts w:ascii="Times New Roman" w:hAnsi="Times New Roman" w:cs="Times New Roman"/>
                <w:sz w:val="24"/>
                <w:szCs w:val="24"/>
              </w:rPr>
              <w:t xml:space="preserve">Registration certificate </w:t>
            </w:r>
          </w:p>
          <w:p w14:paraId="27B760F9" w14:textId="77777777" w:rsidR="00A468B8" w:rsidRDefault="00A468B8" w:rsidP="00A468B8">
            <w:pPr>
              <w:numPr>
                <w:ilvl w:val="0"/>
                <w:numId w:val="3"/>
              </w:numPr>
              <w:spacing w:after="0" w:line="240" w:lineRule="auto"/>
              <w:ind w:left="473" w:hanging="473"/>
              <w:jc w:val="both"/>
              <w:rPr>
                <w:rFonts w:ascii="Times New Roman" w:hAnsi="Times New Roman" w:cs="Times New Roman"/>
                <w:sz w:val="24"/>
                <w:szCs w:val="24"/>
              </w:rPr>
            </w:pPr>
            <w:r>
              <w:rPr>
                <w:rFonts w:ascii="Times New Roman" w:hAnsi="Times New Roman" w:cs="Times New Roman"/>
                <w:sz w:val="24"/>
                <w:szCs w:val="24"/>
              </w:rPr>
              <w:t>Self-declaration (</w:t>
            </w:r>
            <w:hyperlink r:id="rId10" w:history="1">
              <w:r>
                <w:rPr>
                  <w:rStyle w:val="Hyperlink"/>
                  <w:rFonts w:ascii="Times New Roman" w:hAnsi="Times New Roman" w:cs="Times New Roman"/>
                  <w:sz w:val="24"/>
                  <w:szCs w:val="24"/>
                </w:rPr>
                <w:t>Click here to download the format</w:t>
              </w:r>
            </w:hyperlink>
            <w:r>
              <w:rPr>
                <w:rFonts w:ascii="Times New Roman" w:hAnsi="Times New Roman" w:cs="Times New Roman"/>
                <w:color w:val="0563C1"/>
                <w:sz w:val="24"/>
                <w:szCs w:val="24"/>
                <w:u w:val="single"/>
              </w:rPr>
              <w:t>)</w:t>
            </w:r>
          </w:p>
        </w:tc>
      </w:tr>
      <w:tr w:rsidR="00A468B8" w14:paraId="438C8E50" w14:textId="77777777" w:rsidTr="00930DC8">
        <w:trPr>
          <w:tblCellSpacing w:w="0" w:type="dxa"/>
        </w:trPr>
        <w:tc>
          <w:tcPr>
            <w:tcW w:w="861"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B124934" w14:textId="77777777" w:rsidR="00A468B8" w:rsidRDefault="00A468B8">
            <w:pPr>
              <w:jc w:val="both"/>
              <w:rPr>
                <w:rFonts w:ascii="Times New Roman" w:hAnsi="Times New Roman" w:cs="Times New Roman"/>
                <w:sz w:val="24"/>
                <w:szCs w:val="24"/>
              </w:rPr>
            </w:pPr>
            <w:r>
              <w:rPr>
                <w:rFonts w:ascii="Times New Roman" w:hAnsi="Times New Roman" w:cs="Times New Roman"/>
                <w:sz w:val="24"/>
                <w:szCs w:val="24"/>
              </w:rPr>
              <w:t>Mutual Funds</w:t>
            </w:r>
          </w:p>
        </w:tc>
        <w:tc>
          <w:tcPr>
            <w:tcW w:w="1183"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78F14C0" w14:textId="77777777" w:rsidR="00A468B8" w:rsidRDefault="00A468B8">
            <w:pPr>
              <w:jc w:val="both"/>
              <w:rPr>
                <w:rFonts w:ascii="Times New Roman" w:hAnsi="Times New Roman" w:cs="Times New Roman"/>
                <w:sz w:val="24"/>
                <w:szCs w:val="24"/>
              </w:rPr>
            </w:pPr>
            <w:r>
              <w:rPr>
                <w:rFonts w:ascii="Times New Roman" w:hAnsi="Times New Roman" w:cs="Times New Roman"/>
                <w:sz w:val="24"/>
                <w:szCs w:val="24"/>
              </w:rPr>
              <w:t>NIL</w:t>
            </w:r>
          </w:p>
        </w:tc>
        <w:tc>
          <w:tcPr>
            <w:tcW w:w="2957"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71BE0D1" w14:textId="77777777" w:rsidR="00A468B8" w:rsidRDefault="00A468B8">
            <w:pPr>
              <w:rPr>
                <w:rFonts w:ascii="Times New Roman" w:hAnsi="Times New Roman" w:cs="Times New Roman"/>
                <w:color w:val="0563C1"/>
                <w:sz w:val="24"/>
                <w:szCs w:val="24"/>
                <w:u w:val="single"/>
              </w:rPr>
            </w:pPr>
            <w:r>
              <w:rPr>
                <w:rFonts w:ascii="Times New Roman" w:hAnsi="Times New Roman" w:cs="Times New Roman"/>
                <w:sz w:val="24"/>
                <w:szCs w:val="24"/>
              </w:rPr>
              <w:t>Documentary evidence to prove that the mutual fund is a mutual fund specified under clause (23D) of Section 10 of the Act and is covered under Section 196 of the Act along with Self-declaration (</w:t>
            </w:r>
            <w:hyperlink r:id="rId11" w:history="1">
              <w:r>
                <w:rPr>
                  <w:rStyle w:val="Hyperlink"/>
                  <w:rFonts w:ascii="Times New Roman" w:hAnsi="Times New Roman" w:cs="Times New Roman"/>
                  <w:sz w:val="24"/>
                  <w:szCs w:val="24"/>
                </w:rPr>
                <w:t>Click here to download the format</w:t>
              </w:r>
            </w:hyperlink>
            <w:r>
              <w:rPr>
                <w:rFonts w:ascii="Times New Roman" w:hAnsi="Times New Roman" w:cs="Times New Roman"/>
                <w:color w:val="0563C1"/>
                <w:sz w:val="24"/>
                <w:szCs w:val="24"/>
                <w:u w:val="single"/>
              </w:rPr>
              <w:t>)</w:t>
            </w:r>
          </w:p>
        </w:tc>
      </w:tr>
      <w:tr w:rsidR="00A468B8" w14:paraId="763525FD" w14:textId="77777777" w:rsidTr="00930DC8">
        <w:trPr>
          <w:tblCellSpacing w:w="0" w:type="dxa"/>
        </w:trPr>
        <w:tc>
          <w:tcPr>
            <w:tcW w:w="861"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23C6B7B" w14:textId="77777777" w:rsidR="00A468B8" w:rsidRDefault="00A468B8">
            <w:pPr>
              <w:jc w:val="both"/>
              <w:rPr>
                <w:rFonts w:ascii="Times New Roman" w:hAnsi="Times New Roman" w:cs="Times New Roman"/>
                <w:sz w:val="24"/>
                <w:szCs w:val="24"/>
              </w:rPr>
            </w:pPr>
            <w:r>
              <w:rPr>
                <w:rFonts w:ascii="Times New Roman" w:hAnsi="Times New Roman" w:cs="Times New Roman"/>
                <w:sz w:val="24"/>
                <w:szCs w:val="24"/>
              </w:rPr>
              <w:t>Alternative Investment fund (AIF) established/ incorporated in India</w:t>
            </w:r>
          </w:p>
        </w:tc>
        <w:tc>
          <w:tcPr>
            <w:tcW w:w="1183"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2F40E0C" w14:textId="77777777" w:rsidR="00A468B8" w:rsidRDefault="00A468B8">
            <w:pPr>
              <w:jc w:val="both"/>
              <w:rPr>
                <w:rFonts w:ascii="Times New Roman" w:hAnsi="Times New Roman" w:cs="Times New Roman"/>
                <w:sz w:val="24"/>
                <w:szCs w:val="24"/>
              </w:rPr>
            </w:pPr>
            <w:r>
              <w:rPr>
                <w:rFonts w:ascii="Times New Roman" w:hAnsi="Times New Roman" w:cs="Times New Roman"/>
                <w:sz w:val="24"/>
                <w:szCs w:val="24"/>
              </w:rPr>
              <w:t>NIL</w:t>
            </w:r>
          </w:p>
        </w:tc>
        <w:tc>
          <w:tcPr>
            <w:tcW w:w="2957"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7CBBD53" w14:textId="77777777" w:rsidR="00A468B8" w:rsidRDefault="00A468B8">
            <w:pPr>
              <w:jc w:val="both"/>
              <w:rPr>
                <w:rFonts w:ascii="Times New Roman" w:hAnsi="Times New Roman" w:cs="Times New Roman"/>
                <w:sz w:val="24"/>
                <w:szCs w:val="24"/>
              </w:rPr>
            </w:pPr>
            <w:r>
              <w:rPr>
                <w:rFonts w:ascii="Times New Roman" w:hAnsi="Times New Roman" w:cs="Times New Roman"/>
                <w:sz w:val="24"/>
                <w:szCs w:val="24"/>
              </w:rPr>
              <w:t xml:space="preserve">Documentary evidence that the person is covered by Notification No. 51/2015 dated 25 June, 2015 by the Ministry of Finance (CBDT) </w:t>
            </w:r>
            <w:r>
              <w:rPr>
                <w:rFonts w:ascii="Times New Roman" w:hAnsi="Times New Roman" w:cs="Times New Roman"/>
                <w:sz w:val="24"/>
                <w:szCs w:val="24"/>
              </w:rPr>
              <w:br/>
              <w:t>(OR)</w:t>
            </w:r>
            <w:r>
              <w:rPr>
                <w:rFonts w:ascii="Times New Roman" w:hAnsi="Times New Roman" w:cs="Times New Roman"/>
                <w:sz w:val="24"/>
                <w:szCs w:val="24"/>
              </w:rPr>
              <w:br/>
              <w:t>Self-declaration that its income is exempt under Section 10 (23FBA) of the Income Tax Act, 1961 and they are governed by SEBI regulations as Category I or Category II AIF along with the following documents :</w:t>
            </w:r>
          </w:p>
          <w:p w14:paraId="6E2AF743" w14:textId="77777777" w:rsidR="00A468B8" w:rsidRDefault="00A468B8" w:rsidP="00A468B8">
            <w:pPr>
              <w:numPr>
                <w:ilvl w:val="0"/>
                <w:numId w:val="4"/>
              </w:numPr>
              <w:spacing w:after="0" w:line="240" w:lineRule="auto"/>
              <w:ind w:left="563" w:hanging="563"/>
              <w:jc w:val="both"/>
              <w:rPr>
                <w:rFonts w:ascii="Times New Roman" w:hAnsi="Times New Roman" w:cs="Times New Roman"/>
                <w:sz w:val="24"/>
                <w:szCs w:val="24"/>
              </w:rPr>
            </w:pPr>
            <w:r>
              <w:rPr>
                <w:rFonts w:ascii="Times New Roman" w:hAnsi="Times New Roman" w:cs="Times New Roman"/>
                <w:sz w:val="24"/>
                <w:szCs w:val="24"/>
              </w:rPr>
              <w:t xml:space="preserve">Self-attested copy of the PAN card </w:t>
            </w:r>
          </w:p>
          <w:p w14:paraId="015CA494" w14:textId="77777777" w:rsidR="00A468B8" w:rsidRDefault="00A468B8" w:rsidP="00A468B8">
            <w:pPr>
              <w:numPr>
                <w:ilvl w:val="0"/>
                <w:numId w:val="4"/>
              </w:numPr>
              <w:spacing w:after="0" w:line="240" w:lineRule="auto"/>
              <w:ind w:left="563" w:hanging="563"/>
              <w:jc w:val="both"/>
              <w:rPr>
                <w:rFonts w:ascii="Times New Roman" w:hAnsi="Times New Roman" w:cs="Times New Roman"/>
                <w:sz w:val="24"/>
                <w:szCs w:val="24"/>
              </w:rPr>
            </w:pPr>
            <w:r>
              <w:rPr>
                <w:rFonts w:ascii="Times New Roman" w:hAnsi="Times New Roman" w:cs="Times New Roman"/>
                <w:sz w:val="24"/>
                <w:szCs w:val="24"/>
              </w:rPr>
              <w:t xml:space="preserve">Registration certificate </w:t>
            </w:r>
          </w:p>
          <w:p w14:paraId="5A227025" w14:textId="77777777" w:rsidR="00A468B8" w:rsidRDefault="00A468B8" w:rsidP="00A468B8">
            <w:pPr>
              <w:numPr>
                <w:ilvl w:val="0"/>
                <w:numId w:val="4"/>
              </w:numPr>
              <w:spacing w:after="0" w:line="240" w:lineRule="auto"/>
              <w:ind w:left="563" w:hanging="563"/>
              <w:jc w:val="both"/>
              <w:rPr>
                <w:rFonts w:ascii="Times New Roman" w:hAnsi="Times New Roman" w:cs="Times New Roman"/>
                <w:sz w:val="24"/>
                <w:szCs w:val="24"/>
              </w:rPr>
            </w:pPr>
            <w:r>
              <w:rPr>
                <w:rFonts w:ascii="Times New Roman" w:hAnsi="Times New Roman" w:cs="Times New Roman"/>
                <w:sz w:val="24"/>
                <w:szCs w:val="24"/>
              </w:rPr>
              <w:t>Self-declaration (</w:t>
            </w:r>
            <w:hyperlink r:id="rId12" w:history="1">
              <w:r>
                <w:rPr>
                  <w:rStyle w:val="Hyperlink"/>
                  <w:rFonts w:ascii="Times New Roman" w:hAnsi="Times New Roman" w:cs="Times New Roman"/>
                  <w:sz w:val="24"/>
                  <w:szCs w:val="24"/>
                </w:rPr>
                <w:t>Click here to download the format</w:t>
              </w:r>
            </w:hyperlink>
            <w:r>
              <w:rPr>
                <w:rFonts w:ascii="Times New Roman" w:hAnsi="Times New Roman" w:cs="Times New Roman"/>
                <w:color w:val="0563C1"/>
                <w:sz w:val="24"/>
                <w:szCs w:val="24"/>
                <w:u w:val="single"/>
              </w:rPr>
              <w:t>)</w:t>
            </w:r>
          </w:p>
        </w:tc>
      </w:tr>
      <w:tr w:rsidR="00A468B8" w14:paraId="0325928E" w14:textId="77777777" w:rsidTr="00930DC8">
        <w:trPr>
          <w:tblCellSpacing w:w="0" w:type="dxa"/>
        </w:trPr>
        <w:tc>
          <w:tcPr>
            <w:tcW w:w="861"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FFF4B73" w14:textId="77777777" w:rsidR="00A468B8" w:rsidRDefault="00A468B8">
            <w:pPr>
              <w:jc w:val="both"/>
              <w:rPr>
                <w:rFonts w:ascii="Times New Roman" w:hAnsi="Times New Roman" w:cs="Times New Roman"/>
                <w:sz w:val="24"/>
                <w:szCs w:val="24"/>
              </w:rPr>
            </w:pPr>
            <w:r>
              <w:rPr>
                <w:rFonts w:ascii="Times New Roman" w:hAnsi="Times New Roman" w:cs="Times New Roman"/>
                <w:sz w:val="24"/>
                <w:szCs w:val="24"/>
              </w:rPr>
              <w:t>Recognized Provident Fund</w:t>
            </w:r>
          </w:p>
        </w:tc>
        <w:tc>
          <w:tcPr>
            <w:tcW w:w="1183"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FFE7463" w14:textId="77777777" w:rsidR="00A468B8" w:rsidRDefault="00A468B8">
            <w:pPr>
              <w:jc w:val="both"/>
              <w:rPr>
                <w:rFonts w:ascii="Times New Roman" w:hAnsi="Times New Roman" w:cs="Times New Roman"/>
                <w:sz w:val="24"/>
                <w:szCs w:val="24"/>
              </w:rPr>
            </w:pPr>
            <w:r>
              <w:rPr>
                <w:rFonts w:ascii="Times New Roman" w:hAnsi="Times New Roman" w:cs="Times New Roman"/>
                <w:sz w:val="24"/>
                <w:szCs w:val="24"/>
              </w:rPr>
              <w:t>NIL</w:t>
            </w:r>
          </w:p>
        </w:tc>
        <w:tc>
          <w:tcPr>
            <w:tcW w:w="2957"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FC3CC4F" w14:textId="77777777" w:rsidR="00A468B8" w:rsidRDefault="00A468B8">
            <w:pPr>
              <w:jc w:val="both"/>
              <w:rPr>
                <w:rFonts w:ascii="Times New Roman" w:hAnsi="Times New Roman" w:cs="Times New Roman"/>
                <w:sz w:val="24"/>
                <w:szCs w:val="24"/>
              </w:rPr>
            </w:pPr>
            <w:r>
              <w:rPr>
                <w:rFonts w:ascii="Times New Roman" w:hAnsi="Times New Roman" w:cs="Times New Roman"/>
                <w:sz w:val="24"/>
                <w:szCs w:val="24"/>
              </w:rPr>
              <w:t>Self-attested copy of a valid order from Commissioner under Rule 3 of Part A of Fourth Schedule to the Act,</w:t>
            </w:r>
          </w:p>
          <w:p w14:paraId="2581E471" w14:textId="77777777" w:rsidR="00A468B8" w:rsidRDefault="00A468B8">
            <w:pPr>
              <w:rPr>
                <w:rFonts w:ascii="Times New Roman" w:hAnsi="Times New Roman" w:cs="Times New Roman"/>
                <w:color w:val="0563C1"/>
                <w:sz w:val="24"/>
                <w:szCs w:val="24"/>
                <w:u w:val="single"/>
              </w:rPr>
            </w:pPr>
            <w:r>
              <w:rPr>
                <w:rFonts w:ascii="Times New Roman" w:hAnsi="Times New Roman" w:cs="Times New Roman"/>
                <w:sz w:val="24"/>
                <w:szCs w:val="24"/>
              </w:rPr>
              <w:t>(OR)</w:t>
            </w:r>
            <w:r>
              <w:rPr>
                <w:rFonts w:ascii="Times New Roman" w:hAnsi="Times New Roman" w:cs="Times New Roman"/>
                <w:sz w:val="24"/>
                <w:szCs w:val="24"/>
              </w:rPr>
              <w:br/>
              <w:t>Self-attested valid documentary evidence (e.g., relevant copy of registration, notification, order, etc.) in support of the provident fund being established under a scheme framed under the Employees Provident Funds Act, 1952 needs to be submitted along with Self-declaration (</w:t>
            </w:r>
            <w:hyperlink r:id="rId13" w:history="1">
              <w:r>
                <w:rPr>
                  <w:rStyle w:val="Hyperlink"/>
                  <w:rFonts w:ascii="Times New Roman" w:hAnsi="Times New Roman" w:cs="Times New Roman"/>
                  <w:sz w:val="24"/>
                  <w:szCs w:val="24"/>
                </w:rPr>
                <w:t>Click here to download the format</w:t>
              </w:r>
            </w:hyperlink>
            <w:r>
              <w:rPr>
                <w:rFonts w:ascii="Times New Roman" w:hAnsi="Times New Roman" w:cs="Times New Roman"/>
                <w:color w:val="0563C1"/>
                <w:sz w:val="24"/>
                <w:szCs w:val="24"/>
                <w:u w:val="single"/>
              </w:rPr>
              <w:t>)</w:t>
            </w:r>
          </w:p>
        </w:tc>
      </w:tr>
      <w:tr w:rsidR="00A468B8" w14:paraId="57C13EF2" w14:textId="77777777" w:rsidTr="00930DC8">
        <w:trPr>
          <w:tblCellSpacing w:w="0" w:type="dxa"/>
        </w:trPr>
        <w:tc>
          <w:tcPr>
            <w:tcW w:w="861"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373FA59" w14:textId="77777777" w:rsidR="00A468B8" w:rsidRDefault="00A468B8">
            <w:pPr>
              <w:jc w:val="both"/>
              <w:rPr>
                <w:rFonts w:ascii="Times New Roman" w:hAnsi="Times New Roman" w:cs="Times New Roman"/>
                <w:sz w:val="24"/>
                <w:szCs w:val="24"/>
              </w:rPr>
            </w:pPr>
            <w:r>
              <w:rPr>
                <w:rFonts w:ascii="Times New Roman" w:hAnsi="Times New Roman" w:cs="Times New Roman"/>
                <w:sz w:val="24"/>
                <w:szCs w:val="24"/>
              </w:rPr>
              <w:t>Approved Superannuation Fund / Approved Gratuity Fund</w:t>
            </w:r>
          </w:p>
        </w:tc>
        <w:tc>
          <w:tcPr>
            <w:tcW w:w="1183"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14:paraId="2357FAFB" w14:textId="77777777" w:rsidR="00A468B8" w:rsidRDefault="00A468B8">
            <w:pPr>
              <w:jc w:val="both"/>
              <w:rPr>
                <w:rFonts w:ascii="Times New Roman" w:hAnsi="Times New Roman" w:cs="Times New Roman"/>
                <w:sz w:val="24"/>
                <w:szCs w:val="24"/>
              </w:rPr>
            </w:pPr>
            <w:r>
              <w:rPr>
                <w:rFonts w:ascii="Times New Roman" w:hAnsi="Times New Roman" w:cs="Times New Roman"/>
                <w:sz w:val="24"/>
                <w:szCs w:val="24"/>
              </w:rPr>
              <w:t>NIL</w:t>
            </w:r>
          </w:p>
        </w:tc>
        <w:tc>
          <w:tcPr>
            <w:tcW w:w="2957"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1444714" w14:textId="77777777" w:rsidR="00A468B8" w:rsidRDefault="00A468B8">
            <w:pPr>
              <w:jc w:val="both"/>
              <w:rPr>
                <w:rFonts w:ascii="Times New Roman" w:hAnsi="Times New Roman" w:cs="Times New Roman"/>
                <w:sz w:val="24"/>
                <w:szCs w:val="24"/>
              </w:rPr>
            </w:pPr>
            <w:r>
              <w:rPr>
                <w:rFonts w:ascii="Times New Roman" w:hAnsi="Times New Roman" w:cs="Times New Roman"/>
                <w:sz w:val="24"/>
                <w:szCs w:val="24"/>
              </w:rPr>
              <w:t xml:space="preserve">Self-attested copy of valid approval granted by the Commissioner needs to be submitted: </w:t>
            </w:r>
          </w:p>
          <w:p w14:paraId="33678037" w14:textId="77777777" w:rsidR="00A468B8" w:rsidRDefault="00A468B8" w:rsidP="00A468B8">
            <w:pPr>
              <w:numPr>
                <w:ilvl w:val="0"/>
                <w:numId w:val="5"/>
              </w:numPr>
              <w:spacing w:after="0" w:line="240" w:lineRule="auto"/>
              <w:ind w:left="566" w:hanging="520"/>
              <w:jc w:val="both"/>
              <w:rPr>
                <w:rFonts w:ascii="Times New Roman" w:hAnsi="Times New Roman" w:cs="Times New Roman"/>
                <w:sz w:val="24"/>
                <w:szCs w:val="24"/>
              </w:rPr>
            </w:pPr>
            <w:r>
              <w:rPr>
                <w:rFonts w:ascii="Times New Roman" w:hAnsi="Times New Roman" w:cs="Times New Roman"/>
                <w:sz w:val="24"/>
                <w:szCs w:val="24"/>
              </w:rPr>
              <w:t>under Rule 2 of Part B of Fourth Schedule to the Act (In case of Approved Superannuation Fund)</w:t>
            </w:r>
          </w:p>
          <w:p w14:paraId="24AE8F6E" w14:textId="77777777" w:rsidR="00A468B8" w:rsidRDefault="00A468B8" w:rsidP="00A468B8">
            <w:pPr>
              <w:numPr>
                <w:ilvl w:val="0"/>
                <w:numId w:val="5"/>
              </w:numPr>
              <w:spacing w:after="0" w:line="240" w:lineRule="auto"/>
              <w:ind w:left="566" w:hanging="520"/>
              <w:jc w:val="both"/>
              <w:rPr>
                <w:rFonts w:ascii="Times New Roman" w:hAnsi="Times New Roman" w:cs="Times New Roman"/>
                <w:sz w:val="24"/>
                <w:szCs w:val="24"/>
              </w:rPr>
            </w:pPr>
            <w:r>
              <w:rPr>
                <w:rFonts w:ascii="Times New Roman" w:hAnsi="Times New Roman" w:cs="Times New Roman"/>
                <w:sz w:val="24"/>
                <w:szCs w:val="24"/>
              </w:rPr>
              <w:t>under Rule 2 of Part C of Fourth Schedule to the Act (In case of Approved Gratuity Fund) along with Self-declaration (</w:t>
            </w:r>
            <w:hyperlink r:id="rId14" w:history="1">
              <w:r>
                <w:rPr>
                  <w:rStyle w:val="Hyperlink"/>
                  <w:rFonts w:ascii="Times New Roman" w:hAnsi="Times New Roman" w:cs="Times New Roman"/>
                  <w:sz w:val="24"/>
                  <w:szCs w:val="24"/>
                </w:rPr>
                <w:t>Click here to download the format</w:t>
              </w:r>
            </w:hyperlink>
            <w:r>
              <w:rPr>
                <w:rFonts w:ascii="Times New Roman" w:hAnsi="Times New Roman" w:cs="Times New Roman"/>
                <w:color w:val="0563C1"/>
                <w:sz w:val="24"/>
                <w:szCs w:val="24"/>
                <w:u w:val="single"/>
              </w:rPr>
              <w:t>)</w:t>
            </w:r>
          </w:p>
        </w:tc>
      </w:tr>
      <w:tr w:rsidR="00A468B8" w14:paraId="110FCCFD" w14:textId="77777777" w:rsidTr="00930DC8">
        <w:trPr>
          <w:tblCellSpacing w:w="0" w:type="dxa"/>
        </w:trPr>
        <w:tc>
          <w:tcPr>
            <w:tcW w:w="861"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B98B327" w14:textId="77777777" w:rsidR="00A468B8" w:rsidRDefault="00A468B8">
            <w:pPr>
              <w:jc w:val="both"/>
              <w:rPr>
                <w:rFonts w:ascii="Times New Roman" w:hAnsi="Times New Roman" w:cs="Times New Roman"/>
                <w:sz w:val="24"/>
                <w:szCs w:val="24"/>
              </w:rPr>
            </w:pPr>
            <w:r>
              <w:rPr>
                <w:rFonts w:ascii="Times New Roman" w:hAnsi="Times New Roman" w:cs="Times New Roman"/>
                <w:sz w:val="24"/>
                <w:szCs w:val="24"/>
              </w:rPr>
              <w:t>National Pension Scheme</w:t>
            </w:r>
          </w:p>
        </w:tc>
        <w:tc>
          <w:tcPr>
            <w:tcW w:w="1183"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C1DAA40" w14:textId="77777777" w:rsidR="00A468B8" w:rsidRDefault="00A468B8">
            <w:pPr>
              <w:jc w:val="both"/>
              <w:rPr>
                <w:rFonts w:ascii="Times New Roman" w:hAnsi="Times New Roman" w:cs="Times New Roman"/>
                <w:sz w:val="24"/>
                <w:szCs w:val="24"/>
              </w:rPr>
            </w:pPr>
            <w:r>
              <w:rPr>
                <w:rFonts w:ascii="Times New Roman" w:hAnsi="Times New Roman" w:cs="Times New Roman"/>
                <w:sz w:val="24"/>
                <w:szCs w:val="24"/>
              </w:rPr>
              <w:t>NIL</w:t>
            </w:r>
          </w:p>
        </w:tc>
        <w:tc>
          <w:tcPr>
            <w:tcW w:w="2957"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9190CE0" w14:textId="77777777" w:rsidR="00A468B8" w:rsidRDefault="00A468B8">
            <w:pPr>
              <w:rPr>
                <w:rFonts w:ascii="Times New Roman" w:hAnsi="Times New Roman" w:cs="Times New Roman"/>
                <w:color w:val="0563C1"/>
                <w:sz w:val="24"/>
                <w:szCs w:val="24"/>
                <w:u w:val="single"/>
              </w:rPr>
            </w:pPr>
            <w:r>
              <w:rPr>
                <w:rFonts w:ascii="Times New Roman" w:hAnsi="Times New Roman" w:cs="Times New Roman"/>
                <w:sz w:val="24"/>
                <w:szCs w:val="24"/>
              </w:rPr>
              <w:t>Self-attested valid documentary evidence (e.g., relevant copy of registration, notification, order, etc.) granting approval to the Scheme along with Self-declaration (</w:t>
            </w:r>
            <w:hyperlink r:id="rId15" w:history="1">
              <w:r>
                <w:rPr>
                  <w:rStyle w:val="Hyperlink"/>
                  <w:rFonts w:ascii="Times New Roman" w:hAnsi="Times New Roman" w:cs="Times New Roman"/>
                  <w:sz w:val="24"/>
                  <w:szCs w:val="24"/>
                </w:rPr>
                <w:t>Click here to download the format</w:t>
              </w:r>
            </w:hyperlink>
            <w:r>
              <w:rPr>
                <w:rFonts w:ascii="Times New Roman" w:hAnsi="Times New Roman" w:cs="Times New Roman"/>
                <w:color w:val="0563C1"/>
                <w:sz w:val="24"/>
                <w:szCs w:val="24"/>
                <w:u w:val="single"/>
              </w:rPr>
              <w:t>)</w:t>
            </w:r>
          </w:p>
        </w:tc>
      </w:tr>
      <w:tr w:rsidR="00A468B8" w14:paraId="101DDB04" w14:textId="77777777" w:rsidTr="00930DC8">
        <w:trPr>
          <w:tblCellSpacing w:w="0" w:type="dxa"/>
        </w:trPr>
        <w:tc>
          <w:tcPr>
            <w:tcW w:w="861"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637B0B2" w14:textId="77777777" w:rsidR="00A468B8" w:rsidRDefault="00A468B8">
            <w:pPr>
              <w:jc w:val="both"/>
              <w:rPr>
                <w:rFonts w:ascii="Times New Roman" w:hAnsi="Times New Roman" w:cs="Times New Roman"/>
                <w:sz w:val="24"/>
                <w:szCs w:val="24"/>
              </w:rPr>
            </w:pPr>
            <w:r>
              <w:rPr>
                <w:rFonts w:ascii="Times New Roman" w:hAnsi="Times New Roman" w:cs="Times New Roman"/>
                <w:sz w:val="24"/>
                <w:szCs w:val="24"/>
              </w:rPr>
              <w:lastRenderedPageBreak/>
              <w:t>Entities exempt under Section 10 of the Act</w:t>
            </w:r>
          </w:p>
        </w:tc>
        <w:tc>
          <w:tcPr>
            <w:tcW w:w="1183"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1826BA4" w14:textId="77777777" w:rsidR="00A468B8" w:rsidRDefault="00A468B8">
            <w:pPr>
              <w:jc w:val="both"/>
              <w:rPr>
                <w:rFonts w:ascii="Times New Roman" w:hAnsi="Times New Roman" w:cs="Times New Roman"/>
                <w:sz w:val="24"/>
                <w:szCs w:val="24"/>
              </w:rPr>
            </w:pPr>
            <w:r>
              <w:rPr>
                <w:rFonts w:ascii="Times New Roman" w:hAnsi="Times New Roman" w:cs="Times New Roman"/>
                <w:sz w:val="24"/>
                <w:szCs w:val="24"/>
              </w:rPr>
              <w:t>NIL</w:t>
            </w:r>
          </w:p>
        </w:tc>
        <w:tc>
          <w:tcPr>
            <w:tcW w:w="2957"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368374A" w14:textId="77777777" w:rsidR="00A468B8" w:rsidRDefault="00A468B8">
            <w:pPr>
              <w:rPr>
                <w:rFonts w:ascii="Times New Roman" w:hAnsi="Times New Roman" w:cs="Times New Roman"/>
                <w:color w:val="0563C1"/>
                <w:sz w:val="24"/>
                <w:szCs w:val="24"/>
                <w:u w:val="single"/>
              </w:rPr>
            </w:pPr>
            <w:r>
              <w:rPr>
                <w:rFonts w:ascii="Times New Roman" w:hAnsi="Times New Roman" w:cs="Times New Roman"/>
                <w:sz w:val="24"/>
                <w:szCs w:val="24"/>
              </w:rPr>
              <w:t>If the income is exempt under the Act, the authorized signatory shall submit the declaration (</w:t>
            </w:r>
            <w:hyperlink r:id="rId16" w:history="1">
              <w:r>
                <w:rPr>
                  <w:rStyle w:val="Hyperlink"/>
                  <w:rFonts w:ascii="Times New Roman" w:hAnsi="Times New Roman" w:cs="Times New Roman"/>
                  <w:sz w:val="24"/>
                  <w:szCs w:val="24"/>
                </w:rPr>
                <w:t>Click here to download the format</w:t>
              </w:r>
            </w:hyperlink>
            <w:r>
              <w:rPr>
                <w:rFonts w:ascii="Times New Roman" w:hAnsi="Times New Roman" w:cs="Times New Roman"/>
                <w:color w:val="0563C1"/>
                <w:sz w:val="24"/>
                <w:szCs w:val="24"/>
                <w:u w:val="single"/>
              </w:rPr>
              <w:t>)</w:t>
            </w:r>
            <w:r>
              <w:rPr>
                <w:rFonts w:ascii="Times New Roman" w:hAnsi="Times New Roman" w:cs="Times New Roman"/>
                <w:sz w:val="24"/>
                <w:szCs w:val="24"/>
              </w:rPr>
              <w:t xml:space="preserve"> duly signed with stamp affixed for the purpose of claiming exemption from TDS (entities as provided in Circular No.18 of 2017) </w:t>
            </w:r>
          </w:p>
        </w:tc>
      </w:tr>
      <w:tr w:rsidR="00A468B8" w14:paraId="381D9473" w14:textId="77777777" w:rsidTr="00930DC8">
        <w:trPr>
          <w:tblCellSpacing w:w="0" w:type="dxa"/>
        </w:trPr>
        <w:tc>
          <w:tcPr>
            <w:tcW w:w="861"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467E6B7" w14:textId="77777777" w:rsidR="00A468B8" w:rsidRDefault="00A468B8">
            <w:pPr>
              <w:jc w:val="both"/>
              <w:rPr>
                <w:rFonts w:ascii="Times New Roman" w:hAnsi="Times New Roman" w:cs="Times New Roman"/>
                <w:sz w:val="24"/>
                <w:szCs w:val="24"/>
              </w:rPr>
            </w:pPr>
            <w:r>
              <w:rPr>
                <w:rFonts w:ascii="Times New Roman" w:hAnsi="Times New Roman" w:cs="Times New Roman"/>
                <w:sz w:val="24"/>
                <w:szCs w:val="24"/>
              </w:rPr>
              <w:t>Corporation established by or under a Central Act/ State Act which is, under any law for the time being in force, exempt from income- tax on its income including entities in which such corporations are the beneficial shareholders</w:t>
            </w:r>
          </w:p>
        </w:tc>
        <w:tc>
          <w:tcPr>
            <w:tcW w:w="1183"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10AF884" w14:textId="77777777" w:rsidR="00A468B8" w:rsidRDefault="00A468B8">
            <w:pPr>
              <w:jc w:val="both"/>
              <w:rPr>
                <w:rFonts w:ascii="Times New Roman" w:hAnsi="Times New Roman" w:cs="Times New Roman"/>
                <w:sz w:val="24"/>
                <w:szCs w:val="24"/>
              </w:rPr>
            </w:pPr>
            <w:r>
              <w:rPr>
                <w:rFonts w:ascii="Times New Roman" w:hAnsi="Times New Roman" w:cs="Times New Roman"/>
                <w:sz w:val="24"/>
                <w:szCs w:val="24"/>
              </w:rPr>
              <w:t>NIL</w:t>
            </w:r>
          </w:p>
        </w:tc>
        <w:tc>
          <w:tcPr>
            <w:tcW w:w="2957"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CEC8100" w14:textId="77777777" w:rsidR="00A468B8" w:rsidRDefault="00A468B8">
            <w:pPr>
              <w:rPr>
                <w:rFonts w:ascii="Times New Roman" w:hAnsi="Times New Roman" w:cs="Times New Roman"/>
                <w:color w:val="0563C1"/>
                <w:sz w:val="24"/>
                <w:szCs w:val="24"/>
                <w:u w:val="single"/>
              </w:rPr>
            </w:pPr>
            <w:r>
              <w:rPr>
                <w:rFonts w:ascii="Times New Roman" w:hAnsi="Times New Roman" w:cs="Times New Roman"/>
                <w:sz w:val="24"/>
                <w:szCs w:val="24"/>
              </w:rPr>
              <w:t>Documentary evidence that the person is covered under section 196 of the Act along with self-declaration (</w:t>
            </w:r>
            <w:hyperlink r:id="rId17" w:history="1">
              <w:r>
                <w:rPr>
                  <w:rStyle w:val="Hyperlink"/>
                  <w:rFonts w:ascii="Times New Roman" w:hAnsi="Times New Roman" w:cs="Times New Roman"/>
                  <w:sz w:val="24"/>
                  <w:szCs w:val="24"/>
                </w:rPr>
                <w:t>Click here to download the format</w:t>
              </w:r>
            </w:hyperlink>
            <w:r>
              <w:rPr>
                <w:rFonts w:ascii="Times New Roman" w:hAnsi="Times New Roman" w:cs="Times New Roman"/>
                <w:color w:val="0563C1"/>
                <w:sz w:val="24"/>
                <w:szCs w:val="24"/>
                <w:u w:val="single"/>
              </w:rPr>
              <w:t>)</w:t>
            </w:r>
          </w:p>
        </w:tc>
      </w:tr>
      <w:tr w:rsidR="00A468B8" w14:paraId="628A3AED" w14:textId="77777777" w:rsidTr="00930DC8">
        <w:trPr>
          <w:tblCellSpacing w:w="0" w:type="dxa"/>
        </w:trPr>
        <w:tc>
          <w:tcPr>
            <w:tcW w:w="861"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1D4CEA3" w14:textId="77777777" w:rsidR="00A468B8" w:rsidRDefault="00A468B8">
            <w:pPr>
              <w:jc w:val="both"/>
              <w:rPr>
                <w:rFonts w:ascii="Times New Roman" w:hAnsi="Times New Roman" w:cs="Times New Roman"/>
                <w:sz w:val="24"/>
                <w:szCs w:val="24"/>
              </w:rPr>
            </w:pPr>
            <w:r>
              <w:rPr>
                <w:rFonts w:ascii="Times New Roman" w:hAnsi="Times New Roman" w:cs="Times New Roman"/>
                <w:sz w:val="24"/>
                <w:szCs w:val="24"/>
              </w:rPr>
              <w:t>Order under section 197 of the Act</w:t>
            </w:r>
          </w:p>
        </w:tc>
        <w:tc>
          <w:tcPr>
            <w:tcW w:w="1183"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14:paraId="3C08370E" w14:textId="77777777" w:rsidR="00A468B8" w:rsidRDefault="00A468B8">
            <w:pPr>
              <w:jc w:val="both"/>
              <w:rPr>
                <w:rFonts w:ascii="Times New Roman" w:hAnsi="Times New Roman" w:cs="Times New Roman"/>
                <w:sz w:val="24"/>
                <w:szCs w:val="24"/>
              </w:rPr>
            </w:pPr>
            <w:r>
              <w:rPr>
                <w:rFonts w:ascii="Times New Roman" w:hAnsi="Times New Roman" w:cs="Times New Roman"/>
                <w:sz w:val="24"/>
                <w:szCs w:val="24"/>
              </w:rPr>
              <w:t>Rate provided in the order</w:t>
            </w:r>
          </w:p>
        </w:tc>
        <w:tc>
          <w:tcPr>
            <w:tcW w:w="2957"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234E6E2" w14:textId="77777777" w:rsidR="00A468B8" w:rsidRDefault="00A468B8">
            <w:pPr>
              <w:jc w:val="both"/>
              <w:rPr>
                <w:rFonts w:ascii="Times New Roman" w:hAnsi="Times New Roman" w:cs="Times New Roman"/>
                <w:sz w:val="24"/>
                <w:szCs w:val="24"/>
              </w:rPr>
            </w:pPr>
            <w:r>
              <w:rPr>
                <w:rFonts w:ascii="Times New Roman" w:hAnsi="Times New Roman" w:cs="Times New Roman"/>
                <w:sz w:val="24"/>
                <w:szCs w:val="24"/>
              </w:rPr>
              <w:t xml:space="preserve">Lower/NIL withholding tax certificate obtained from Income Tax authorities </w:t>
            </w:r>
          </w:p>
        </w:tc>
      </w:tr>
      <w:tr w:rsidR="00A468B8" w14:paraId="35A573F4" w14:textId="77777777" w:rsidTr="00930DC8">
        <w:trPr>
          <w:tblCellSpacing w:w="0" w:type="dxa"/>
        </w:trPr>
        <w:tc>
          <w:tcPr>
            <w:tcW w:w="861"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C03733B" w14:textId="77777777" w:rsidR="00A468B8" w:rsidRDefault="00A468B8">
            <w:pPr>
              <w:jc w:val="both"/>
              <w:rPr>
                <w:rFonts w:ascii="Times New Roman" w:hAnsi="Times New Roman" w:cs="Times New Roman"/>
                <w:sz w:val="24"/>
                <w:szCs w:val="24"/>
              </w:rPr>
            </w:pPr>
            <w:r>
              <w:rPr>
                <w:rFonts w:ascii="Times New Roman" w:hAnsi="Times New Roman" w:cs="Times New Roman"/>
                <w:sz w:val="24"/>
                <w:szCs w:val="24"/>
              </w:rPr>
              <w:t>Benefit under Rule 37BA</w:t>
            </w:r>
          </w:p>
        </w:tc>
        <w:tc>
          <w:tcPr>
            <w:tcW w:w="1183"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14:paraId="5B68962B" w14:textId="77777777" w:rsidR="00A468B8" w:rsidRDefault="00A468B8">
            <w:pPr>
              <w:jc w:val="both"/>
              <w:rPr>
                <w:rFonts w:ascii="Times New Roman" w:hAnsi="Times New Roman" w:cs="Times New Roman"/>
                <w:sz w:val="24"/>
                <w:szCs w:val="24"/>
              </w:rPr>
            </w:pPr>
            <w:r>
              <w:rPr>
                <w:rFonts w:ascii="Times New Roman" w:hAnsi="Times New Roman" w:cs="Times New Roman"/>
                <w:sz w:val="24"/>
                <w:szCs w:val="24"/>
              </w:rPr>
              <w:t>Rates based on the status of the beneficial owners</w:t>
            </w:r>
          </w:p>
        </w:tc>
        <w:tc>
          <w:tcPr>
            <w:tcW w:w="2957"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655D3A6" w14:textId="77777777" w:rsidR="00A468B8" w:rsidRDefault="00A468B8">
            <w:pPr>
              <w:rPr>
                <w:rFonts w:ascii="Times New Roman" w:hAnsi="Times New Roman" w:cs="Times New Roman"/>
                <w:color w:val="0563C1"/>
                <w:sz w:val="24"/>
                <w:szCs w:val="24"/>
                <w:u w:val="single"/>
              </w:rPr>
            </w:pPr>
            <w:r>
              <w:rPr>
                <w:rFonts w:ascii="Times New Roman" w:hAnsi="Times New Roman" w:cs="Times New Roman"/>
                <w:sz w:val="24"/>
                <w:szCs w:val="24"/>
              </w:rPr>
              <w:t>In case where shares are held by Clearing Member/ intermediaries/ stock brokers and TDS is to be applied by the Company in the PAN of the beneficial shareholders, then intermediaries/ stock brokers and beneficiary shareholders will have to provide a declaration (</w:t>
            </w:r>
            <w:hyperlink r:id="rId18" w:history="1">
              <w:r>
                <w:rPr>
                  <w:rStyle w:val="Hyperlink"/>
                  <w:rFonts w:ascii="Times New Roman" w:hAnsi="Times New Roman" w:cs="Times New Roman"/>
                  <w:sz w:val="24"/>
                  <w:szCs w:val="24"/>
                </w:rPr>
                <w:t>Click here to download the format</w:t>
              </w:r>
            </w:hyperlink>
            <w:r>
              <w:rPr>
                <w:rFonts w:ascii="Times New Roman" w:hAnsi="Times New Roman" w:cs="Times New Roman"/>
                <w:color w:val="0563C1"/>
                <w:sz w:val="24"/>
                <w:szCs w:val="24"/>
                <w:u w:val="single"/>
              </w:rPr>
              <w:t xml:space="preserve"> </w:t>
            </w:r>
            <w:r>
              <w:rPr>
                <w:rFonts w:ascii="Times New Roman" w:hAnsi="Times New Roman" w:cs="Times New Roman"/>
                <w:sz w:val="24"/>
                <w:szCs w:val="24"/>
              </w:rPr>
              <w:t>) along with Appendix A (</w:t>
            </w:r>
            <w:hyperlink r:id="rId19" w:history="1">
              <w:r>
                <w:rPr>
                  <w:rStyle w:val="Hyperlink"/>
                  <w:rFonts w:ascii="Times New Roman" w:hAnsi="Times New Roman" w:cs="Times New Roman"/>
                  <w:sz w:val="24"/>
                  <w:szCs w:val="24"/>
                </w:rPr>
                <w:t>Click here to download the format</w:t>
              </w:r>
            </w:hyperlink>
          </w:p>
        </w:tc>
      </w:tr>
      <w:tr w:rsidR="00A468B8" w14:paraId="2541AA86" w14:textId="77777777" w:rsidTr="00930DC8">
        <w:trPr>
          <w:tblCellSpacing w:w="0" w:type="dxa"/>
        </w:trPr>
        <w:tc>
          <w:tcPr>
            <w:tcW w:w="861"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75E19A7" w14:textId="77777777" w:rsidR="00A468B8" w:rsidRDefault="00A468B8">
            <w:pPr>
              <w:jc w:val="both"/>
              <w:rPr>
                <w:rFonts w:ascii="Times New Roman" w:hAnsi="Times New Roman" w:cs="Times New Roman"/>
                <w:sz w:val="24"/>
                <w:szCs w:val="24"/>
              </w:rPr>
            </w:pPr>
            <w:r>
              <w:rPr>
                <w:rFonts w:ascii="Times New Roman" w:hAnsi="Times New Roman" w:cs="Times New Roman"/>
                <w:sz w:val="24"/>
                <w:szCs w:val="24"/>
              </w:rPr>
              <w:t>Other resident shareholders without PAN/Invalid PAN/ Deleted PAN/ non-compliance of Section 206AB</w:t>
            </w:r>
          </w:p>
        </w:tc>
        <w:tc>
          <w:tcPr>
            <w:tcW w:w="1183"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14:paraId="600AF67B" w14:textId="77777777" w:rsidR="00A468B8" w:rsidRDefault="00A468B8">
            <w:pPr>
              <w:jc w:val="both"/>
              <w:rPr>
                <w:rFonts w:ascii="Times New Roman" w:hAnsi="Times New Roman" w:cs="Times New Roman"/>
                <w:sz w:val="24"/>
                <w:szCs w:val="24"/>
              </w:rPr>
            </w:pPr>
            <w:r>
              <w:rPr>
                <w:rFonts w:ascii="Times New Roman" w:hAnsi="Times New Roman" w:cs="Times New Roman"/>
                <w:sz w:val="24"/>
                <w:szCs w:val="24"/>
              </w:rPr>
              <w:t>20%</w:t>
            </w:r>
          </w:p>
        </w:tc>
        <w:tc>
          <w:tcPr>
            <w:tcW w:w="2957"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F9EAC38" w14:textId="77777777" w:rsidR="00A468B8" w:rsidRDefault="00A468B8">
            <w:pPr>
              <w:rPr>
                <w:rFonts w:ascii="Times New Roman" w:hAnsi="Times New Roman" w:cs="Times New Roman"/>
                <w:sz w:val="24"/>
                <w:szCs w:val="24"/>
              </w:rPr>
            </w:pPr>
          </w:p>
        </w:tc>
      </w:tr>
    </w:tbl>
    <w:p w14:paraId="6337A9C6" w14:textId="77777777" w:rsidR="00A468B8" w:rsidRDefault="00A468B8" w:rsidP="00A468B8">
      <w:pPr>
        <w:jc w:val="both"/>
        <w:rPr>
          <w:rFonts w:ascii="Times New Roman" w:hAnsi="Times New Roman" w:cs="Times New Roman"/>
          <w:b/>
          <w:bCs/>
          <w:sz w:val="24"/>
          <w:szCs w:val="24"/>
          <w14:ligatures w14:val="standardContextual"/>
        </w:rPr>
      </w:pPr>
    </w:p>
    <w:p w14:paraId="1DA25DD2" w14:textId="77777777" w:rsidR="00A51F42" w:rsidRDefault="00A51F42" w:rsidP="00A468B8">
      <w:pPr>
        <w:jc w:val="both"/>
        <w:rPr>
          <w:rFonts w:ascii="Times New Roman" w:hAnsi="Times New Roman" w:cs="Times New Roman"/>
          <w:b/>
          <w:bCs/>
          <w:sz w:val="24"/>
          <w:szCs w:val="24"/>
          <w14:ligatures w14:val="standardContextual"/>
        </w:rPr>
      </w:pPr>
    </w:p>
    <w:p w14:paraId="0EECB2AE" w14:textId="77777777" w:rsidR="00A51F42" w:rsidRDefault="00A51F42" w:rsidP="00A468B8">
      <w:pPr>
        <w:jc w:val="both"/>
        <w:rPr>
          <w:rFonts w:ascii="Times New Roman" w:hAnsi="Times New Roman" w:cs="Times New Roman"/>
          <w:b/>
          <w:bCs/>
          <w:sz w:val="24"/>
          <w:szCs w:val="24"/>
          <w14:ligatures w14:val="standardContextual"/>
        </w:rPr>
      </w:pPr>
    </w:p>
    <w:p w14:paraId="6978FBA0" w14:textId="77777777" w:rsidR="00A468B8" w:rsidRDefault="00A468B8" w:rsidP="00A468B8">
      <w:pPr>
        <w:jc w:val="both"/>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II.        Non-resident Shareholders</w:t>
      </w:r>
      <w:r>
        <w:rPr>
          <w:rFonts w:ascii="Times New Roman" w:hAnsi="Times New Roman" w:cs="Times New Roman"/>
          <w:sz w:val="24"/>
          <w:szCs w:val="24"/>
          <w:lang w:val="en-US"/>
        </w:rPr>
        <w:t xml:space="preserve"> </w:t>
      </w:r>
    </w:p>
    <w:p w14:paraId="615A1C23" w14:textId="77777777" w:rsidR="00A468B8" w:rsidRDefault="00A468B8" w:rsidP="00A468B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respect of non-resident shareholders, tax will be deducted at source under Section 195 and Section 196D of the Act @ 20% (plus applicable surcharge and </w:t>
      </w:r>
      <w:proofErr w:type="spellStart"/>
      <w:r>
        <w:rPr>
          <w:rFonts w:ascii="Times New Roman" w:hAnsi="Times New Roman" w:cs="Times New Roman"/>
          <w:sz w:val="24"/>
          <w:szCs w:val="24"/>
          <w:lang w:val="en-US"/>
        </w:rPr>
        <w:t>cess</w:t>
      </w:r>
      <w:proofErr w:type="spellEnd"/>
      <w:r>
        <w:rPr>
          <w:rFonts w:ascii="Times New Roman" w:hAnsi="Times New Roman" w:cs="Times New Roman"/>
          <w:sz w:val="24"/>
          <w:szCs w:val="24"/>
          <w:lang w:val="en-US"/>
        </w:rPr>
        <w:t xml:space="preserve">) on the amount of dividend payable unless exempt under the provisions of the Act as given below: </w:t>
      </w:r>
    </w:p>
    <w:p w14:paraId="58F663F3" w14:textId="77777777" w:rsidR="00A468B8" w:rsidRDefault="00A468B8" w:rsidP="00A468B8">
      <w:pPr>
        <w:jc w:val="both"/>
        <w:rPr>
          <w:rFonts w:ascii="Times New Roman" w:hAnsi="Times New Roman" w:cs="Times New Roman"/>
          <w:sz w:val="24"/>
          <w:szCs w:val="24"/>
          <w:lang w:val="en-US"/>
        </w:rPr>
      </w:pPr>
    </w:p>
    <w:tbl>
      <w:tblPr>
        <w:tblW w:w="500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4"/>
        <w:gridCol w:w="2051"/>
        <w:gridCol w:w="5603"/>
      </w:tblGrid>
      <w:tr w:rsidR="00A468B8" w14:paraId="58F7E83C" w14:textId="77777777" w:rsidTr="00D72C14">
        <w:trPr>
          <w:tblCellSpacing w:w="0" w:type="dxa"/>
        </w:trPr>
        <w:tc>
          <w:tcPr>
            <w:tcW w:w="906"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F653711" w14:textId="77777777" w:rsidR="00A468B8" w:rsidRDefault="00A468B8">
            <w:pPr>
              <w:spacing w:before="150"/>
              <w:jc w:val="center"/>
              <w:rPr>
                <w:rFonts w:ascii="Times New Roman" w:hAnsi="Times New Roman" w:cs="Times New Roman"/>
                <w:b/>
                <w:bCs/>
                <w:sz w:val="24"/>
                <w:szCs w:val="24"/>
              </w:rPr>
            </w:pPr>
            <w:r>
              <w:rPr>
                <w:rFonts w:ascii="Times New Roman" w:hAnsi="Times New Roman" w:cs="Times New Roman"/>
                <w:b/>
                <w:bCs/>
                <w:sz w:val="24"/>
                <w:szCs w:val="24"/>
              </w:rPr>
              <w:t>Category of Shareholder</w:t>
            </w:r>
          </w:p>
        </w:tc>
        <w:tc>
          <w:tcPr>
            <w:tcW w:w="0" w:type="auto"/>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8FE868D" w14:textId="77777777" w:rsidR="00A468B8" w:rsidRDefault="00A468B8">
            <w:pPr>
              <w:spacing w:before="150"/>
              <w:jc w:val="center"/>
              <w:rPr>
                <w:rFonts w:ascii="Times New Roman" w:hAnsi="Times New Roman" w:cs="Times New Roman"/>
                <w:b/>
                <w:bCs/>
                <w:sz w:val="24"/>
                <w:szCs w:val="24"/>
              </w:rPr>
            </w:pPr>
            <w:r>
              <w:rPr>
                <w:rFonts w:ascii="Times New Roman" w:hAnsi="Times New Roman" w:cs="Times New Roman"/>
                <w:b/>
                <w:bCs/>
                <w:sz w:val="24"/>
                <w:szCs w:val="24"/>
              </w:rPr>
              <w:t xml:space="preserve">Tax Deduction Rate </w:t>
            </w:r>
          </w:p>
        </w:tc>
        <w:tc>
          <w:tcPr>
            <w:tcW w:w="2997"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77CC756" w14:textId="77777777" w:rsidR="00A468B8" w:rsidRDefault="00A468B8">
            <w:pPr>
              <w:spacing w:before="150"/>
              <w:jc w:val="center"/>
              <w:rPr>
                <w:rFonts w:ascii="Times New Roman" w:hAnsi="Times New Roman" w:cs="Times New Roman"/>
                <w:b/>
                <w:bCs/>
                <w:sz w:val="24"/>
                <w:szCs w:val="24"/>
              </w:rPr>
            </w:pPr>
            <w:r>
              <w:rPr>
                <w:rFonts w:ascii="Times New Roman" w:hAnsi="Times New Roman" w:cs="Times New Roman"/>
                <w:b/>
                <w:bCs/>
                <w:sz w:val="24"/>
                <w:szCs w:val="24"/>
              </w:rPr>
              <w:t>Exemption Applicability/ Documents required</w:t>
            </w:r>
          </w:p>
        </w:tc>
      </w:tr>
      <w:tr w:rsidR="00A468B8" w14:paraId="064D5336" w14:textId="77777777" w:rsidTr="00D72C14">
        <w:trPr>
          <w:trHeight w:val="1083"/>
          <w:tblCellSpacing w:w="0" w:type="dxa"/>
        </w:trPr>
        <w:tc>
          <w:tcPr>
            <w:tcW w:w="906"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9953644" w14:textId="77777777" w:rsidR="00A468B8" w:rsidRDefault="00A468B8">
            <w:pPr>
              <w:spacing w:before="150"/>
              <w:jc w:val="both"/>
              <w:rPr>
                <w:rFonts w:ascii="Times New Roman" w:hAnsi="Times New Roman" w:cs="Times New Roman"/>
                <w:sz w:val="24"/>
                <w:szCs w:val="24"/>
              </w:rPr>
            </w:pPr>
            <w:r>
              <w:rPr>
                <w:rFonts w:ascii="Times New Roman" w:hAnsi="Times New Roman" w:cs="Times New Roman"/>
                <w:sz w:val="24"/>
                <w:szCs w:val="24"/>
              </w:rPr>
              <w:t>Any non-resident shareholder (including Foreign Institutional Investors, Foreign Portfolio Investors (FII, FPI))</w:t>
            </w:r>
          </w:p>
        </w:tc>
        <w:tc>
          <w:tcPr>
            <w:tcW w:w="0" w:type="auto"/>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C4F9AD5" w14:textId="77777777" w:rsidR="00A468B8" w:rsidRDefault="00A468B8">
            <w:pPr>
              <w:spacing w:before="150"/>
              <w:jc w:val="both"/>
              <w:rPr>
                <w:rFonts w:ascii="Times New Roman" w:hAnsi="Times New Roman" w:cs="Times New Roman"/>
                <w:sz w:val="24"/>
                <w:szCs w:val="24"/>
              </w:rPr>
            </w:pPr>
            <w:r>
              <w:rPr>
                <w:rFonts w:ascii="Times New Roman" w:hAnsi="Times New Roman" w:cs="Times New Roman"/>
                <w:sz w:val="24"/>
                <w:szCs w:val="24"/>
              </w:rPr>
              <w:t xml:space="preserve">20% (plus applicable surcharge and cess) or Tax Treaty rate whichever is lower </w:t>
            </w:r>
          </w:p>
        </w:tc>
        <w:tc>
          <w:tcPr>
            <w:tcW w:w="2997"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tcPr>
          <w:p w14:paraId="04F3A5D7" w14:textId="77777777" w:rsidR="00A468B8" w:rsidRDefault="00A468B8">
            <w:pPr>
              <w:jc w:val="both"/>
              <w:rPr>
                <w:rFonts w:ascii="Times New Roman" w:hAnsi="Times New Roman" w:cs="Times New Roman"/>
                <w:sz w:val="24"/>
                <w:szCs w:val="24"/>
              </w:rPr>
            </w:pPr>
            <w:r>
              <w:rPr>
                <w:rFonts w:ascii="Times New Roman" w:hAnsi="Times New Roman" w:cs="Times New Roman"/>
                <w:sz w:val="24"/>
                <w:szCs w:val="24"/>
              </w:rPr>
              <w:t xml:space="preserve">As per Section 90 of the Act, a non-resident shareholder has an option to be governed by the provisions of the Double Taxation Avoidance Agreement ('DTAA') between India and the country of tax residency of the shareholder, if such DTAA provisions are more beneficial to such shareholder. To avail the DTAA benefits, the non-resident shareholder will have to compulsorily provide the following documents: </w:t>
            </w:r>
          </w:p>
          <w:p w14:paraId="122DCF06" w14:textId="77777777" w:rsidR="00A468B8" w:rsidRDefault="00A468B8">
            <w:pPr>
              <w:jc w:val="both"/>
              <w:rPr>
                <w:rFonts w:ascii="Times New Roman" w:hAnsi="Times New Roman" w:cs="Times New Roman"/>
                <w:sz w:val="24"/>
                <w:szCs w:val="24"/>
              </w:rPr>
            </w:pPr>
          </w:p>
          <w:p w14:paraId="026BC936" w14:textId="77777777" w:rsidR="00A468B8" w:rsidRDefault="00A468B8" w:rsidP="00A468B8">
            <w:pPr>
              <w:numPr>
                <w:ilvl w:val="0"/>
                <w:numId w:val="6"/>
              </w:numPr>
              <w:spacing w:after="0" w:line="240" w:lineRule="auto"/>
              <w:ind w:left="518" w:hanging="450"/>
              <w:jc w:val="both"/>
              <w:rPr>
                <w:rFonts w:ascii="Times New Roman" w:hAnsi="Times New Roman" w:cs="Times New Roman"/>
                <w:sz w:val="24"/>
                <w:szCs w:val="24"/>
              </w:rPr>
            </w:pPr>
            <w:r>
              <w:rPr>
                <w:rFonts w:ascii="Times New Roman" w:hAnsi="Times New Roman" w:cs="Times New Roman"/>
                <w:sz w:val="24"/>
                <w:szCs w:val="24"/>
              </w:rPr>
              <w:t>Copy of Permanent Account Number (PAN), if available.</w:t>
            </w:r>
          </w:p>
          <w:p w14:paraId="7C12E0A6" w14:textId="77777777" w:rsidR="00A468B8" w:rsidRDefault="00A468B8" w:rsidP="00A468B8">
            <w:pPr>
              <w:numPr>
                <w:ilvl w:val="0"/>
                <w:numId w:val="6"/>
              </w:numPr>
              <w:spacing w:before="100" w:beforeAutospacing="1" w:after="100" w:afterAutospacing="1" w:line="240" w:lineRule="auto"/>
              <w:ind w:left="518" w:hanging="450"/>
              <w:jc w:val="both"/>
              <w:rPr>
                <w:rFonts w:ascii="Times New Roman" w:hAnsi="Times New Roman" w:cs="Times New Roman"/>
                <w:sz w:val="24"/>
                <w:szCs w:val="24"/>
              </w:rPr>
            </w:pPr>
            <w:r>
              <w:rPr>
                <w:rFonts w:ascii="Times New Roman" w:hAnsi="Times New Roman" w:cs="Times New Roman"/>
                <w:sz w:val="24"/>
                <w:szCs w:val="24"/>
              </w:rPr>
              <w:t>Self-attested copy of Tax Residency Certificate ('TRC') issued by the revenue authorities of the country of which shareholder is tax resident, evidencing and certifying shareholder's tax residency status during FY 2023-24.</w:t>
            </w:r>
          </w:p>
          <w:p w14:paraId="7B413DCF" w14:textId="77777777" w:rsidR="00A468B8" w:rsidRDefault="00A468B8">
            <w:pPr>
              <w:rPr>
                <w:rFonts w:ascii="Times New Roman" w:hAnsi="Times New Roman" w:cs="Times New Roman"/>
                <w:color w:val="0563C1"/>
                <w:sz w:val="24"/>
                <w:szCs w:val="24"/>
                <w:u w:val="single"/>
              </w:rPr>
            </w:pPr>
            <w:r>
              <w:rPr>
                <w:rFonts w:ascii="Times New Roman" w:hAnsi="Times New Roman" w:cs="Times New Roman"/>
                <w:sz w:val="24"/>
                <w:szCs w:val="24"/>
              </w:rPr>
              <w:t>Form 10F filed electronically on the Indian Income Tax web portal pursuant to Notification no. 03/2022 dated July 16, 2022 and a subsequent notification dated December 12, 2022 issued by CBDT, as required under the Act. (Please note that the shareholders who have PAN may not be eligible for DTAA benefit if the e-filed Form 10F is not furnished. However, pursuant to the Notification dated March 28, 2023, CBDT exempted those non-residents who are not having PAN and are not required to have PAN as per the law from mandatory e-filing of Form 10F online until September 30, 2023, and such non-residents may make this statutory compliance of filing Form 10F in manual form as was being done prior to issuance of the Notification No. 03/2022 till September 30, 2022. (</w:t>
            </w:r>
            <w:hyperlink r:id="rId20" w:history="1">
              <w:r>
                <w:rPr>
                  <w:rStyle w:val="Hyperlink"/>
                  <w:rFonts w:ascii="Times New Roman" w:hAnsi="Times New Roman" w:cs="Times New Roman"/>
                  <w:sz w:val="24"/>
                  <w:szCs w:val="24"/>
                </w:rPr>
                <w:t>Click here to download Form 10F</w:t>
              </w:r>
            </w:hyperlink>
            <w:r>
              <w:rPr>
                <w:rFonts w:ascii="Times New Roman" w:hAnsi="Times New Roman" w:cs="Times New Roman"/>
                <w:color w:val="0563C1"/>
                <w:sz w:val="24"/>
                <w:szCs w:val="24"/>
                <w:u w:val="single"/>
              </w:rPr>
              <w:t>)</w:t>
            </w:r>
          </w:p>
          <w:p w14:paraId="10ED288F" w14:textId="77777777" w:rsidR="00A468B8" w:rsidRDefault="00A468B8">
            <w:pPr>
              <w:pStyle w:val="ListParagraph"/>
              <w:ind w:left="525"/>
              <w:rPr>
                <w:rFonts w:ascii="Times New Roman" w:hAnsi="Times New Roman" w:cs="Times New Roman"/>
                <w:sz w:val="24"/>
                <w:szCs w:val="24"/>
              </w:rPr>
            </w:pPr>
          </w:p>
          <w:p w14:paraId="7539C140" w14:textId="77777777" w:rsidR="00A468B8" w:rsidRDefault="00A468B8">
            <w:pPr>
              <w:rPr>
                <w:rFonts w:ascii="Times New Roman" w:hAnsi="Times New Roman" w:cs="Times New Roman"/>
                <w:color w:val="0563C1"/>
                <w:sz w:val="24"/>
                <w:szCs w:val="24"/>
                <w:u w:val="single"/>
              </w:rPr>
            </w:pPr>
            <w:r>
              <w:rPr>
                <w:rFonts w:ascii="Times New Roman" w:hAnsi="Times New Roman" w:cs="Times New Roman"/>
                <w:sz w:val="24"/>
                <w:szCs w:val="24"/>
              </w:rPr>
              <w:t xml:space="preserve">Self-declaration of having no taxable presence, fixed base or permanent establishment in India in accordance with the applicable Tax Treaty and Beneficial ownership </w:t>
            </w:r>
            <w:r>
              <w:rPr>
                <w:rFonts w:ascii="Times New Roman" w:hAnsi="Times New Roman" w:cs="Times New Roman"/>
                <w:sz w:val="24"/>
                <w:szCs w:val="24"/>
              </w:rPr>
              <w:lastRenderedPageBreak/>
              <w:t>by the non-resident shareholder. (</w:t>
            </w:r>
            <w:hyperlink r:id="rId21" w:history="1">
              <w:r>
                <w:rPr>
                  <w:rStyle w:val="Hyperlink"/>
                  <w:rFonts w:ascii="Times New Roman" w:hAnsi="Times New Roman" w:cs="Times New Roman"/>
                  <w:sz w:val="24"/>
                  <w:szCs w:val="24"/>
                </w:rPr>
                <w:t>Click here to download the format</w:t>
              </w:r>
            </w:hyperlink>
            <w:r>
              <w:rPr>
                <w:rFonts w:ascii="Times New Roman" w:hAnsi="Times New Roman" w:cs="Times New Roman"/>
                <w:color w:val="0563C1"/>
                <w:sz w:val="24"/>
                <w:szCs w:val="24"/>
                <w:u w:val="single"/>
              </w:rPr>
              <w:t>)</w:t>
            </w:r>
          </w:p>
          <w:p w14:paraId="43B7A325" w14:textId="77777777" w:rsidR="00A468B8" w:rsidRDefault="00A468B8">
            <w:pPr>
              <w:pStyle w:val="ListParagraph"/>
              <w:ind w:left="525"/>
              <w:rPr>
                <w:rFonts w:ascii="Times New Roman" w:hAnsi="Times New Roman" w:cs="Times New Roman"/>
                <w:sz w:val="24"/>
                <w:szCs w:val="24"/>
              </w:rPr>
            </w:pPr>
          </w:p>
          <w:p w14:paraId="76FA95AF" w14:textId="77777777" w:rsidR="00A468B8" w:rsidRDefault="00A468B8">
            <w:pPr>
              <w:rPr>
                <w:rFonts w:ascii="Times New Roman" w:hAnsi="Times New Roman" w:cs="Times New Roman"/>
                <w:color w:val="0563C1"/>
                <w:sz w:val="24"/>
                <w:szCs w:val="24"/>
                <w:u w:val="single"/>
              </w:rPr>
            </w:pPr>
            <w:r>
              <w:rPr>
                <w:rFonts w:ascii="Times New Roman" w:hAnsi="Times New Roman" w:cs="Times New Roman"/>
                <w:sz w:val="24"/>
                <w:szCs w:val="24"/>
              </w:rPr>
              <w:t>Application of beneficial DTAA rate shall depend upon the completeness and satisfactory review by the Company of the documents submitted by the Non-Resident shareholders. The Company will apply its sole discretion and is not obligated to apply the beneficial DTAA rates for tax deduction on dividend payable to shareholders.</w:t>
            </w:r>
            <w:r>
              <w:rPr>
                <w:rFonts w:ascii="Times New Roman" w:hAnsi="Times New Roman" w:cs="Times New Roman"/>
                <w:sz w:val="24"/>
                <w:szCs w:val="24"/>
              </w:rPr>
              <w:br/>
              <w:t xml:space="preserve">TDS shall be recovered at 20% (plus applicable surcharge and cess) if any of the above-mentioned documents are not provided. </w:t>
            </w:r>
          </w:p>
        </w:tc>
      </w:tr>
      <w:tr w:rsidR="00A468B8" w14:paraId="3285244D" w14:textId="77777777" w:rsidTr="00D72C14">
        <w:trPr>
          <w:tblCellSpacing w:w="0" w:type="dxa"/>
        </w:trPr>
        <w:tc>
          <w:tcPr>
            <w:tcW w:w="906"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F7E032D" w14:textId="77777777" w:rsidR="00A468B8" w:rsidRDefault="00A468B8">
            <w:pPr>
              <w:jc w:val="both"/>
              <w:rPr>
                <w:rFonts w:ascii="Times New Roman" w:hAnsi="Times New Roman" w:cs="Times New Roman"/>
                <w:sz w:val="24"/>
                <w:szCs w:val="24"/>
              </w:rPr>
            </w:pPr>
            <w:r>
              <w:rPr>
                <w:rFonts w:ascii="Times New Roman" w:hAnsi="Times New Roman" w:cs="Times New Roman"/>
                <w:sz w:val="24"/>
                <w:szCs w:val="24"/>
              </w:rPr>
              <w:lastRenderedPageBreak/>
              <w:t>Submitting Order under section 195(3) /197 of the Act</w:t>
            </w:r>
          </w:p>
        </w:tc>
        <w:tc>
          <w:tcPr>
            <w:tcW w:w="0" w:type="auto"/>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14:paraId="004CB6E9" w14:textId="77777777" w:rsidR="00A468B8" w:rsidRDefault="00A468B8">
            <w:pPr>
              <w:jc w:val="both"/>
              <w:rPr>
                <w:rFonts w:ascii="Times New Roman" w:hAnsi="Times New Roman" w:cs="Times New Roman"/>
                <w:sz w:val="24"/>
                <w:szCs w:val="24"/>
              </w:rPr>
            </w:pPr>
            <w:r>
              <w:rPr>
                <w:rFonts w:ascii="Times New Roman" w:hAnsi="Times New Roman" w:cs="Times New Roman"/>
                <w:sz w:val="24"/>
                <w:szCs w:val="24"/>
              </w:rPr>
              <w:t>Rate provided in the Order</w:t>
            </w:r>
          </w:p>
        </w:tc>
        <w:tc>
          <w:tcPr>
            <w:tcW w:w="2997"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A11A8CB" w14:textId="77777777" w:rsidR="00A468B8" w:rsidRDefault="00A468B8">
            <w:pPr>
              <w:jc w:val="both"/>
              <w:rPr>
                <w:rFonts w:ascii="Times New Roman" w:hAnsi="Times New Roman" w:cs="Times New Roman"/>
                <w:sz w:val="24"/>
                <w:szCs w:val="24"/>
              </w:rPr>
            </w:pPr>
            <w:r>
              <w:rPr>
                <w:rFonts w:ascii="Times New Roman" w:hAnsi="Times New Roman" w:cs="Times New Roman"/>
                <w:sz w:val="24"/>
                <w:szCs w:val="24"/>
              </w:rPr>
              <w:t>Lower/NIL withholding tax certificate obtained from Income Tax authorities.</w:t>
            </w:r>
          </w:p>
        </w:tc>
      </w:tr>
    </w:tbl>
    <w:p w14:paraId="38CE7ACA" w14:textId="77777777" w:rsidR="00A468B8" w:rsidRDefault="00A468B8" w:rsidP="00A468B8">
      <w:pPr>
        <w:jc w:val="both"/>
        <w:rPr>
          <w:rFonts w:ascii="Times New Roman" w:hAnsi="Times New Roman" w:cs="Times New Roman"/>
          <w:b/>
          <w:bCs/>
          <w:sz w:val="24"/>
          <w:szCs w:val="24"/>
          <w14:ligatures w14:val="standardContextual"/>
        </w:rPr>
      </w:pPr>
    </w:p>
    <w:p w14:paraId="64497B1C" w14:textId="77777777" w:rsidR="00A468B8" w:rsidRDefault="00A468B8" w:rsidP="00A468B8">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Notes: </w:t>
      </w:r>
    </w:p>
    <w:p w14:paraId="7204D84E" w14:textId="77777777" w:rsidR="00A468B8" w:rsidRDefault="00A468B8" w:rsidP="00A468B8">
      <w:pPr>
        <w:numPr>
          <w:ilvl w:val="0"/>
          <w:numId w:val="7"/>
        </w:numPr>
        <w:spacing w:before="225"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Shareholders holding shares under multiple accounts under different status/ category (</w:t>
      </w:r>
      <w:proofErr w:type="spellStart"/>
      <w:r>
        <w:rPr>
          <w:rFonts w:ascii="Times New Roman" w:eastAsia="Times New Roman" w:hAnsi="Times New Roman" w:cs="Times New Roman"/>
          <w:sz w:val="24"/>
          <w:szCs w:val="24"/>
          <w:lang w:val="en-US"/>
        </w:rPr>
        <w:t>eg.</w:t>
      </w:r>
      <w:proofErr w:type="spellEnd"/>
      <w:r>
        <w:rPr>
          <w:rFonts w:ascii="Times New Roman" w:eastAsia="Times New Roman" w:hAnsi="Times New Roman" w:cs="Times New Roman"/>
          <w:sz w:val="24"/>
          <w:szCs w:val="24"/>
          <w:lang w:val="en-US"/>
        </w:rPr>
        <w:t xml:space="preserve"> Resident and Non-Resident) and single PAN, may note that, higher of the tax as applicable to the status in which shares held under a PAN will be considered on their entire holding in different accounts.</w:t>
      </w:r>
    </w:p>
    <w:p w14:paraId="3EEB2132" w14:textId="77777777" w:rsidR="00A468B8" w:rsidRDefault="00A468B8" w:rsidP="00A468B8">
      <w:pPr>
        <w:numPr>
          <w:ilvl w:val="0"/>
          <w:numId w:val="7"/>
        </w:numPr>
        <w:spacing w:before="225"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For shareholders who are identified as "Specified Persons" under Section 206AB of the Act, higher tax rate as applicable would be deducted. For the purpose of TDS, Company will verify the status (i.e., Specified Person or not) from the Government enabled online facility and deduct TDS accordingly. It may be noted that as per Section 206AB,</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sz w:val="24"/>
          <w:szCs w:val="24"/>
          <w:lang w:val="en-US"/>
        </w:rPr>
        <w:t>the specified persons shall not include a non-resident who does not have a permanent establishment in India.</w:t>
      </w:r>
      <w:r>
        <w:rPr>
          <w:rFonts w:ascii="Times New Roman" w:eastAsia="Times New Roman" w:hAnsi="Times New Roman" w:cs="Times New Roman"/>
          <w:sz w:val="24"/>
          <w:szCs w:val="24"/>
          <w:lang w:val="en-US"/>
        </w:rPr>
        <w:br/>
      </w:r>
      <w:r>
        <w:rPr>
          <w:rFonts w:ascii="Times New Roman" w:eastAsia="Times New Roman" w:hAnsi="Times New Roman" w:cs="Times New Roman"/>
          <w:sz w:val="24"/>
          <w:szCs w:val="24"/>
          <w:lang w:val="en-US"/>
        </w:rPr>
        <w:br/>
        <w:t xml:space="preserve">Accordingly, in order to enable us to determine the appropriate TDS / withholding tax rate applicable, we request you to provide the documents as mentioned above on or before July 31, 2023. Shareholders are requested to note that while the submission of original forms are mandatory, they may submit the said documents through email </w:t>
      </w:r>
      <w:hyperlink r:id="rId22" w:history="1">
        <w:r>
          <w:rPr>
            <w:rStyle w:val="Hyperlink"/>
            <w:rFonts w:ascii="Times New Roman" w:eastAsia="Times New Roman" w:hAnsi="Times New Roman" w:cs="Times New Roman"/>
            <w:sz w:val="24"/>
            <w:szCs w:val="24"/>
            <w:lang w:val="en-US"/>
          </w:rPr>
          <w:t>investors@sarthakglobal.com</w:t>
        </w:r>
      </w:hyperlink>
      <w:r>
        <w:rPr>
          <w:rFonts w:ascii="Times New Roman" w:eastAsia="Times New Roman" w:hAnsi="Times New Roman" w:cs="Times New Roman"/>
          <w:sz w:val="24"/>
          <w:szCs w:val="24"/>
          <w:lang w:val="en-US"/>
        </w:rPr>
        <w:t>. The original forms may be submitted to the Registrar and Share Transfer Agent of the Company at the following address:</w:t>
      </w:r>
    </w:p>
    <w:p w14:paraId="5D65548D" w14:textId="77777777" w:rsidR="00A468B8" w:rsidRDefault="00A468B8" w:rsidP="00A468B8">
      <w:pPr>
        <w:pStyle w:val="NoSpacing"/>
        <w:ind w:firstLine="720"/>
        <w:rPr>
          <w:rFonts w:ascii="Times New Roman" w:hAnsi="Times New Roman" w:cs="Times New Roman"/>
          <w:sz w:val="24"/>
          <w:szCs w:val="24"/>
        </w:rPr>
      </w:pPr>
      <w:r>
        <w:rPr>
          <w:rFonts w:ascii="Times New Roman" w:hAnsi="Times New Roman" w:cs="Times New Roman"/>
          <w:sz w:val="24"/>
          <w:szCs w:val="24"/>
        </w:rPr>
        <w:t>Sarthak Global Limited</w:t>
      </w:r>
    </w:p>
    <w:p w14:paraId="136999D0" w14:textId="77777777" w:rsidR="00A468B8" w:rsidRDefault="00A468B8" w:rsidP="00A468B8">
      <w:pPr>
        <w:pStyle w:val="NoSpacing"/>
        <w:ind w:firstLine="720"/>
        <w:rPr>
          <w:rFonts w:ascii="Times New Roman" w:hAnsi="Times New Roman" w:cs="Times New Roman"/>
          <w:sz w:val="24"/>
          <w:szCs w:val="24"/>
        </w:rPr>
      </w:pPr>
      <w:r>
        <w:rPr>
          <w:rFonts w:ascii="Times New Roman" w:hAnsi="Times New Roman" w:cs="Times New Roman"/>
          <w:sz w:val="24"/>
          <w:szCs w:val="24"/>
        </w:rPr>
        <w:t>(Unit : Patanjali Foods Limited (Formerly known as Ruchi Soya Industries Limited)</w:t>
      </w:r>
    </w:p>
    <w:p w14:paraId="553E8C50" w14:textId="77777777" w:rsidR="00A468B8" w:rsidRDefault="00A468B8" w:rsidP="00A468B8">
      <w:pPr>
        <w:pStyle w:val="NoSpacing"/>
        <w:ind w:firstLine="720"/>
        <w:rPr>
          <w:rFonts w:ascii="Times New Roman" w:hAnsi="Times New Roman" w:cs="Times New Roman"/>
          <w:sz w:val="24"/>
          <w:szCs w:val="24"/>
        </w:rPr>
      </w:pPr>
      <w:r>
        <w:rPr>
          <w:rFonts w:ascii="Times New Roman" w:hAnsi="Times New Roman" w:cs="Times New Roman"/>
          <w:sz w:val="24"/>
          <w:szCs w:val="24"/>
        </w:rPr>
        <w:t>170/10, RNT Marg, Film Colony,</w:t>
      </w:r>
    </w:p>
    <w:p w14:paraId="5B99CB67" w14:textId="77777777" w:rsidR="00A468B8" w:rsidRDefault="00A468B8" w:rsidP="00A468B8">
      <w:pPr>
        <w:pStyle w:val="NoSpacing"/>
        <w:ind w:firstLine="720"/>
        <w:rPr>
          <w:rFonts w:ascii="Times New Roman" w:hAnsi="Times New Roman" w:cs="Times New Roman"/>
          <w:sz w:val="24"/>
          <w:szCs w:val="24"/>
        </w:rPr>
      </w:pPr>
      <w:r>
        <w:rPr>
          <w:rFonts w:ascii="Times New Roman" w:hAnsi="Times New Roman" w:cs="Times New Roman"/>
          <w:sz w:val="24"/>
          <w:szCs w:val="24"/>
        </w:rPr>
        <w:t>Indore (MP) 452001</w:t>
      </w:r>
    </w:p>
    <w:p w14:paraId="361D0F4D" w14:textId="77777777" w:rsidR="00A468B8" w:rsidRDefault="00A468B8" w:rsidP="00A468B8">
      <w:pPr>
        <w:numPr>
          <w:ilvl w:val="0"/>
          <w:numId w:val="7"/>
        </w:numPr>
        <w:spacing w:before="225"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 communication on the tax determination/deduction shall be entertained post July 31, 2023.</w:t>
      </w:r>
    </w:p>
    <w:p w14:paraId="13E0D17F" w14:textId="77777777" w:rsidR="00A468B8" w:rsidRDefault="00A468B8" w:rsidP="00A468B8">
      <w:pPr>
        <w:spacing w:before="225" w:after="100" w:afterAutospacing="1"/>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may be further noted that in case the tax on dividend is deducted at a higher rate in absence of receipt of the aforementioned details/documents from you, there would still be </w:t>
      </w:r>
      <w:r>
        <w:rPr>
          <w:rFonts w:ascii="Times New Roman" w:hAnsi="Times New Roman" w:cs="Times New Roman"/>
          <w:sz w:val="24"/>
          <w:szCs w:val="24"/>
          <w:lang w:val="en-US"/>
        </w:rPr>
        <w:lastRenderedPageBreak/>
        <w:t>an option available with you to file the return of income and claim an appropriate refund, if eligible. No claim shall lie against the Company for such taxes deducted.</w:t>
      </w:r>
    </w:p>
    <w:p w14:paraId="32D1A46B" w14:textId="77777777" w:rsidR="00A468B8" w:rsidRDefault="00A468B8" w:rsidP="00A468B8">
      <w:pPr>
        <w:spacing w:before="225" w:after="100" w:afterAutospacing="1"/>
        <w:ind w:left="720"/>
        <w:jc w:val="both"/>
        <w:rPr>
          <w:rFonts w:ascii="Times New Roman" w:hAnsi="Times New Roman" w:cs="Times New Roman"/>
          <w:sz w:val="24"/>
          <w:szCs w:val="24"/>
          <w:lang w:val="en-US"/>
        </w:rPr>
      </w:pPr>
      <w:r>
        <w:rPr>
          <w:rFonts w:ascii="Times New Roman" w:hAnsi="Times New Roman" w:cs="Times New Roman"/>
          <w:sz w:val="24"/>
          <w:szCs w:val="24"/>
          <w:lang w:val="en-US"/>
        </w:rPr>
        <w:t>Shareholders will also be able to see the credit of TDS in Form 26AS, which can be downloaded from their e-filing account at</w:t>
      </w:r>
      <w:r>
        <w:rPr>
          <w:rFonts w:ascii="Times New Roman" w:hAnsi="Times New Roman" w:cs="Times New Roman"/>
          <w:color w:val="000000"/>
          <w:sz w:val="24"/>
          <w:szCs w:val="24"/>
          <w:lang w:val="en-US"/>
        </w:rPr>
        <w:t> </w:t>
      </w:r>
      <w:hyperlink r:id="rId23" w:tgtFrame="_blank" w:history="1">
        <w:r>
          <w:rPr>
            <w:rStyle w:val="Hyperlink"/>
            <w:rFonts w:ascii="Times New Roman" w:hAnsi="Times New Roman" w:cs="Times New Roman"/>
            <w:sz w:val="24"/>
            <w:szCs w:val="24"/>
            <w:lang w:val="en-US"/>
          </w:rPr>
          <w:t>https://incometaxindiaefiling.gov.in</w:t>
        </w:r>
      </w:hyperlink>
      <w:r>
        <w:rPr>
          <w:rFonts w:ascii="Times New Roman" w:hAnsi="Times New Roman" w:cs="Times New Roman"/>
          <w:sz w:val="24"/>
          <w:szCs w:val="24"/>
          <w:lang w:val="en-US"/>
        </w:rPr>
        <w:t>.</w:t>
      </w:r>
    </w:p>
    <w:p w14:paraId="2F9D67F3" w14:textId="77777777" w:rsidR="00A468B8" w:rsidRDefault="00A468B8" w:rsidP="00A468B8">
      <w:pPr>
        <w:spacing w:before="225" w:after="100" w:afterAutospacing="1"/>
        <w:ind w:left="720"/>
        <w:jc w:val="both"/>
        <w:rPr>
          <w:rFonts w:ascii="Times New Roman" w:hAnsi="Times New Roman" w:cs="Times New Roman"/>
          <w:sz w:val="24"/>
          <w:szCs w:val="24"/>
          <w:lang w:val="en-US"/>
        </w:rPr>
      </w:pPr>
      <w:r>
        <w:rPr>
          <w:rFonts w:ascii="Times New Roman" w:hAnsi="Times New Roman" w:cs="Times New Roman"/>
          <w:sz w:val="24"/>
          <w:szCs w:val="24"/>
          <w:lang w:val="en-US"/>
        </w:rPr>
        <w:t>Disclaimer: This communication shall not be treated as an advice from the Company. Shareholders should obtain the tax advice related to their tax matters from a tax professional.</w:t>
      </w:r>
    </w:p>
    <w:p w14:paraId="44A9AF44" w14:textId="77777777" w:rsidR="00A468B8" w:rsidRDefault="00A468B8" w:rsidP="00A468B8">
      <w:pPr>
        <w:spacing w:before="225" w:after="100" w:afterAutospacing="1"/>
        <w:ind w:left="720"/>
        <w:jc w:val="both"/>
        <w:rPr>
          <w:rFonts w:ascii="Times New Roman" w:hAnsi="Times New Roman" w:cs="Times New Roman"/>
          <w:sz w:val="24"/>
          <w:szCs w:val="24"/>
          <w:lang w:val="en-US"/>
        </w:rPr>
      </w:pPr>
      <w:r>
        <w:rPr>
          <w:rFonts w:ascii="Times New Roman" w:hAnsi="Times New Roman" w:cs="Times New Roman"/>
          <w:sz w:val="24"/>
          <w:szCs w:val="24"/>
          <w:lang w:val="en-US"/>
        </w:rPr>
        <w:t>Notice: The information contained in this e-mail message and/or attachments to it may contain confidential or privileged information. If you are not the intended recipient, any dissemination, use, review, distribution, printing or copying of the information contained in this e-mail message and/or attachments to it are strictly prohibited. If you have received this communication in error, please notify us by reply e-mail or telephone and immediately and permanently delete the message and any attachments.</w:t>
      </w:r>
    </w:p>
    <w:p w14:paraId="3CB5A350" w14:textId="77777777" w:rsidR="00A468B8" w:rsidRDefault="00A468B8" w:rsidP="00A468B8">
      <w:pPr>
        <w:spacing w:before="225" w:after="100" w:afterAutospacing="1"/>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We request your cooperation in this regard.</w:t>
      </w:r>
    </w:p>
    <w:p w14:paraId="1F470536" w14:textId="77777777" w:rsidR="00A468B8" w:rsidRDefault="00A468B8" w:rsidP="00A468B8">
      <w:pPr>
        <w:pStyle w:val="NoSpacing"/>
        <w:rPr>
          <w:rFonts w:ascii="Times New Roman" w:hAnsi="Times New Roman" w:cs="Times New Roman"/>
          <w:sz w:val="24"/>
          <w:szCs w:val="24"/>
        </w:rPr>
      </w:pPr>
      <w:r>
        <w:rPr>
          <w:rFonts w:ascii="Times New Roman" w:hAnsi="Times New Roman" w:cs="Times New Roman"/>
          <w:sz w:val="24"/>
          <w:szCs w:val="24"/>
        </w:rPr>
        <w:t>Thanking you,</w:t>
      </w:r>
      <w:r>
        <w:rPr>
          <w:rFonts w:ascii="Times New Roman" w:hAnsi="Times New Roman" w:cs="Times New Roman"/>
          <w:sz w:val="24"/>
          <w:szCs w:val="24"/>
        </w:rPr>
        <w:br/>
        <w:t>Yours faithfully,</w:t>
      </w:r>
      <w:r>
        <w:rPr>
          <w:rFonts w:ascii="Times New Roman" w:hAnsi="Times New Roman" w:cs="Times New Roman"/>
          <w:sz w:val="24"/>
          <w:szCs w:val="24"/>
        </w:rPr>
        <w:br/>
      </w:r>
      <w:r>
        <w:rPr>
          <w:rFonts w:ascii="Times New Roman" w:hAnsi="Times New Roman" w:cs="Times New Roman"/>
          <w:b/>
          <w:bCs/>
          <w:sz w:val="24"/>
          <w:szCs w:val="24"/>
        </w:rPr>
        <w:t>For and on behalf of Patanjali Foods Limited,</w:t>
      </w:r>
    </w:p>
    <w:p w14:paraId="029FB798" w14:textId="77777777" w:rsidR="00A468B8" w:rsidRDefault="00A468B8" w:rsidP="00A468B8">
      <w:pPr>
        <w:pStyle w:val="NoSpacing"/>
        <w:rPr>
          <w:rFonts w:ascii="Times New Roman" w:hAnsi="Times New Roman" w:cs="Times New Roman"/>
          <w:sz w:val="24"/>
          <w:szCs w:val="24"/>
        </w:rPr>
      </w:pPr>
      <w:r>
        <w:rPr>
          <w:rFonts w:ascii="Times New Roman" w:hAnsi="Times New Roman" w:cs="Times New Roman"/>
          <w:sz w:val="24"/>
          <w:szCs w:val="24"/>
        </w:rPr>
        <w:t>(Formerly known as Ruchi Soya Industries Limited)</w:t>
      </w:r>
    </w:p>
    <w:p w14:paraId="445306EE" w14:textId="77777777" w:rsidR="00A468B8" w:rsidRDefault="00A468B8" w:rsidP="00A468B8">
      <w:pPr>
        <w:pStyle w:val="NoSpacing"/>
        <w:rPr>
          <w:rFonts w:ascii="Times New Roman" w:hAnsi="Times New Roman" w:cs="Times New Roman"/>
          <w:b/>
          <w:bCs/>
          <w:sz w:val="24"/>
          <w:szCs w:val="24"/>
        </w:rPr>
      </w:pPr>
    </w:p>
    <w:p w14:paraId="6934108A" w14:textId="77777777" w:rsidR="00353784" w:rsidRDefault="00353784" w:rsidP="00A468B8">
      <w:pPr>
        <w:pStyle w:val="NoSpacing"/>
        <w:rPr>
          <w:rFonts w:ascii="Times New Roman" w:hAnsi="Times New Roman" w:cs="Times New Roman"/>
          <w:b/>
          <w:bCs/>
          <w:sz w:val="24"/>
          <w:szCs w:val="24"/>
        </w:rPr>
      </w:pPr>
    </w:p>
    <w:p w14:paraId="403DA198" w14:textId="77777777" w:rsidR="00A468B8" w:rsidRDefault="00A468B8" w:rsidP="00A468B8">
      <w:pPr>
        <w:pStyle w:val="NoSpacing"/>
        <w:rPr>
          <w:rFonts w:ascii="Times New Roman" w:hAnsi="Times New Roman" w:cs="Times New Roman"/>
          <w:b/>
          <w:bCs/>
          <w:sz w:val="24"/>
          <w:szCs w:val="24"/>
        </w:rPr>
      </w:pPr>
      <w:r>
        <w:rPr>
          <w:rFonts w:ascii="Times New Roman" w:hAnsi="Times New Roman" w:cs="Times New Roman"/>
          <w:b/>
          <w:bCs/>
          <w:sz w:val="24"/>
          <w:szCs w:val="24"/>
        </w:rPr>
        <w:t>Sd/-</w:t>
      </w:r>
    </w:p>
    <w:p w14:paraId="176D197D" w14:textId="77777777" w:rsidR="00A468B8" w:rsidRDefault="00A468B8" w:rsidP="00A468B8">
      <w:pPr>
        <w:pStyle w:val="NoSpacing"/>
        <w:rPr>
          <w:rFonts w:ascii="Times New Roman" w:hAnsi="Times New Roman" w:cs="Times New Roman"/>
          <w:b/>
          <w:bCs/>
          <w:sz w:val="24"/>
          <w:szCs w:val="24"/>
        </w:rPr>
      </w:pPr>
      <w:r>
        <w:rPr>
          <w:rFonts w:ascii="Times New Roman" w:hAnsi="Times New Roman" w:cs="Times New Roman"/>
          <w:b/>
          <w:bCs/>
          <w:sz w:val="24"/>
          <w:szCs w:val="24"/>
        </w:rPr>
        <w:t>Ramji Lal Gupta</w:t>
      </w:r>
    </w:p>
    <w:p w14:paraId="4F779F02" w14:textId="77777777" w:rsidR="00A468B8" w:rsidRDefault="00A468B8" w:rsidP="00A468B8">
      <w:pPr>
        <w:pStyle w:val="NoSpacing"/>
        <w:rPr>
          <w:rFonts w:ascii="Times New Roman" w:hAnsi="Times New Roman" w:cs="Times New Roman"/>
          <w:b/>
          <w:bCs/>
          <w:sz w:val="24"/>
          <w:szCs w:val="24"/>
        </w:rPr>
      </w:pPr>
      <w:r>
        <w:rPr>
          <w:rFonts w:ascii="Times New Roman" w:hAnsi="Times New Roman" w:cs="Times New Roman"/>
          <w:b/>
          <w:bCs/>
          <w:sz w:val="24"/>
          <w:szCs w:val="24"/>
        </w:rPr>
        <w:t>Vice President and Company Secretary</w:t>
      </w:r>
    </w:p>
    <w:p w14:paraId="7EB89900" w14:textId="77777777" w:rsidR="00F86CEF" w:rsidRPr="0007709B" w:rsidRDefault="00F86CEF" w:rsidP="00A468B8">
      <w:pPr>
        <w:pStyle w:val="NoSpacing"/>
        <w:jc w:val="center"/>
        <w:rPr>
          <w:rFonts w:cstheme="minorHAnsi"/>
        </w:rPr>
      </w:pPr>
    </w:p>
    <w:sectPr w:rsidR="00F86CEF" w:rsidRPr="0007709B" w:rsidSect="0007709B">
      <w:pgSz w:w="11906" w:h="16838" w:code="9"/>
      <w:pgMar w:top="432" w:right="1106"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66CC"/>
    <w:multiLevelType w:val="multilevel"/>
    <w:tmpl w:val="C41880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FE6BEC"/>
    <w:multiLevelType w:val="multilevel"/>
    <w:tmpl w:val="06A667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5D3EAD"/>
    <w:multiLevelType w:val="multilevel"/>
    <w:tmpl w:val="69F2DF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584639A8"/>
    <w:multiLevelType w:val="multilevel"/>
    <w:tmpl w:val="59405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F72665C"/>
    <w:multiLevelType w:val="multilevel"/>
    <w:tmpl w:val="585673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6B7A7049"/>
    <w:multiLevelType w:val="multilevel"/>
    <w:tmpl w:val="CD085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DD83591"/>
    <w:multiLevelType w:val="multilevel"/>
    <w:tmpl w:val="7EF89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388353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32858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37015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64044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438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2574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14253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C47"/>
    <w:rsid w:val="00013B6C"/>
    <w:rsid w:val="00026A11"/>
    <w:rsid w:val="00045ED5"/>
    <w:rsid w:val="00046883"/>
    <w:rsid w:val="0007709B"/>
    <w:rsid w:val="000A0BFC"/>
    <w:rsid w:val="000F1017"/>
    <w:rsid w:val="0013473F"/>
    <w:rsid w:val="001510EC"/>
    <w:rsid w:val="00156A28"/>
    <w:rsid w:val="001662E5"/>
    <w:rsid w:val="00193E1F"/>
    <w:rsid w:val="00196188"/>
    <w:rsid w:val="001A71C1"/>
    <w:rsid w:val="001E738D"/>
    <w:rsid w:val="001F70B1"/>
    <w:rsid w:val="001F7BBB"/>
    <w:rsid w:val="00204C28"/>
    <w:rsid w:val="002131A0"/>
    <w:rsid w:val="0025338B"/>
    <w:rsid w:val="00257130"/>
    <w:rsid w:val="002641EC"/>
    <w:rsid w:val="00266CA2"/>
    <w:rsid w:val="0028214D"/>
    <w:rsid w:val="00283D2A"/>
    <w:rsid w:val="002A5249"/>
    <w:rsid w:val="002B566A"/>
    <w:rsid w:val="002D3FB7"/>
    <w:rsid w:val="002E0879"/>
    <w:rsid w:val="002E3E8A"/>
    <w:rsid w:val="002E776F"/>
    <w:rsid w:val="002F606A"/>
    <w:rsid w:val="00327028"/>
    <w:rsid w:val="003364DA"/>
    <w:rsid w:val="00337D70"/>
    <w:rsid w:val="00340BF2"/>
    <w:rsid w:val="00342CD6"/>
    <w:rsid w:val="00353784"/>
    <w:rsid w:val="003639D1"/>
    <w:rsid w:val="00376FB8"/>
    <w:rsid w:val="003A50DE"/>
    <w:rsid w:val="003D4C97"/>
    <w:rsid w:val="003D5080"/>
    <w:rsid w:val="00427253"/>
    <w:rsid w:val="004547D5"/>
    <w:rsid w:val="00490CCC"/>
    <w:rsid w:val="004B66F9"/>
    <w:rsid w:val="004D2AB7"/>
    <w:rsid w:val="004F1CC4"/>
    <w:rsid w:val="004F7FB7"/>
    <w:rsid w:val="00526BC4"/>
    <w:rsid w:val="00527BD5"/>
    <w:rsid w:val="0053462F"/>
    <w:rsid w:val="00542106"/>
    <w:rsid w:val="00542666"/>
    <w:rsid w:val="00561540"/>
    <w:rsid w:val="005809CC"/>
    <w:rsid w:val="005A7883"/>
    <w:rsid w:val="005B1AF5"/>
    <w:rsid w:val="005D6168"/>
    <w:rsid w:val="005F7376"/>
    <w:rsid w:val="00610901"/>
    <w:rsid w:val="00627B25"/>
    <w:rsid w:val="00676768"/>
    <w:rsid w:val="00694E85"/>
    <w:rsid w:val="006A3A9C"/>
    <w:rsid w:val="006A704B"/>
    <w:rsid w:val="006F0471"/>
    <w:rsid w:val="006F3B1A"/>
    <w:rsid w:val="00723CA4"/>
    <w:rsid w:val="00742F72"/>
    <w:rsid w:val="00756BB7"/>
    <w:rsid w:val="0076576A"/>
    <w:rsid w:val="00770DD6"/>
    <w:rsid w:val="007C3CBB"/>
    <w:rsid w:val="007C42C9"/>
    <w:rsid w:val="0080030E"/>
    <w:rsid w:val="0082052B"/>
    <w:rsid w:val="00834B2B"/>
    <w:rsid w:val="008757F1"/>
    <w:rsid w:val="008858D9"/>
    <w:rsid w:val="008B4D65"/>
    <w:rsid w:val="008B6545"/>
    <w:rsid w:val="008C2E53"/>
    <w:rsid w:val="008C46BC"/>
    <w:rsid w:val="0091262B"/>
    <w:rsid w:val="00920F56"/>
    <w:rsid w:val="00930DC8"/>
    <w:rsid w:val="00933ED5"/>
    <w:rsid w:val="00937610"/>
    <w:rsid w:val="0095409F"/>
    <w:rsid w:val="009555E4"/>
    <w:rsid w:val="00992F5C"/>
    <w:rsid w:val="009A2E19"/>
    <w:rsid w:val="009E0BB0"/>
    <w:rsid w:val="009F1DAB"/>
    <w:rsid w:val="009F7E62"/>
    <w:rsid w:val="00A36398"/>
    <w:rsid w:val="00A468B8"/>
    <w:rsid w:val="00A51F42"/>
    <w:rsid w:val="00A579FE"/>
    <w:rsid w:val="00A70D1C"/>
    <w:rsid w:val="00A9552E"/>
    <w:rsid w:val="00AB1959"/>
    <w:rsid w:val="00AC02A4"/>
    <w:rsid w:val="00AC68CC"/>
    <w:rsid w:val="00B650B2"/>
    <w:rsid w:val="00B771B2"/>
    <w:rsid w:val="00B77321"/>
    <w:rsid w:val="00B868E1"/>
    <w:rsid w:val="00B93B42"/>
    <w:rsid w:val="00BA5F48"/>
    <w:rsid w:val="00BB78EA"/>
    <w:rsid w:val="00C004D8"/>
    <w:rsid w:val="00C02D22"/>
    <w:rsid w:val="00C20690"/>
    <w:rsid w:val="00C31D57"/>
    <w:rsid w:val="00C64971"/>
    <w:rsid w:val="00C679CE"/>
    <w:rsid w:val="00C81137"/>
    <w:rsid w:val="00C84ACF"/>
    <w:rsid w:val="00CB3634"/>
    <w:rsid w:val="00CC663C"/>
    <w:rsid w:val="00CE0951"/>
    <w:rsid w:val="00CF2754"/>
    <w:rsid w:val="00D1225A"/>
    <w:rsid w:val="00D12DB0"/>
    <w:rsid w:val="00D215D1"/>
    <w:rsid w:val="00D44817"/>
    <w:rsid w:val="00D45564"/>
    <w:rsid w:val="00D4659F"/>
    <w:rsid w:val="00D517B8"/>
    <w:rsid w:val="00D51B45"/>
    <w:rsid w:val="00D72C14"/>
    <w:rsid w:val="00D91817"/>
    <w:rsid w:val="00D94794"/>
    <w:rsid w:val="00D97A07"/>
    <w:rsid w:val="00DA1470"/>
    <w:rsid w:val="00DA1764"/>
    <w:rsid w:val="00DA3EC3"/>
    <w:rsid w:val="00DD1C47"/>
    <w:rsid w:val="00DD3050"/>
    <w:rsid w:val="00DE4D03"/>
    <w:rsid w:val="00E00423"/>
    <w:rsid w:val="00E30AC8"/>
    <w:rsid w:val="00E420AD"/>
    <w:rsid w:val="00E81AB4"/>
    <w:rsid w:val="00EA1CA9"/>
    <w:rsid w:val="00EB0292"/>
    <w:rsid w:val="00EB4EE9"/>
    <w:rsid w:val="00EC0397"/>
    <w:rsid w:val="00ED154B"/>
    <w:rsid w:val="00EE4E08"/>
    <w:rsid w:val="00F01DD9"/>
    <w:rsid w:val="00F6724C"/>
    <w:rsid w:val="00F678DC"/>
    <w:rsid w:val="00F76112"/>
    <w:rsid w:val="00F86CEF"/>
    <w:rsid w:val="00F924AC"/>
    <w:rsid w:val="00FC7A78"/>
    <w:rsid w:val="00FC7FE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988D"/>
  <w15:chartTrackingRefBased/>
  <w15:docId w15:val="{90ED8D2C-C22D-4413-8D05-5D84789E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CEF"/>
    <w:rPr>
      <w:color w:val="0563C1" w:themeColor="hyperlink"/>
      <w:u w:val="single"/>
    </w:rPr>
  </w:style>
  <w:style w:type="paragraph" w:styleId="NoSpacing">
    <w:name w:val="No Spacing"/>
    <w:uiPriority w:val="1"/>
    <w:qFormat/>
    <w:rsid w:val="00F86CEF"/>
    <w:pPr>
      <w:spacing w:after="0" w:line="240" w:lineRule="auto"/>
    </w:pPr>
  </w:style>
  <w:style w:type="character" w:styleId="Strong">
    <w:name w:val="Strong"/>
    <w:basedOn w:val="DefaultParagraphFont"/>
    <w:uiPriority w:val="22"/>
    <w:qFormat/>
    <w:rsid w:val="00F76112"/>
    <w:rPr>
      <w:b/>
      <w:bCs/>
    </w:rPr>
  </w:style>
  <w:style w:type="character" w:customStyle="1" w:styleId="UnresolvedMention1">
    <w:name w:val="Unresolved Mention1"/>
    <w:basedOn w:val="DefaultParagraphFont"/>
    <w:uiPriority w:val="99"/>
    <w:semiHidden/>
    <w:unhideWhenUsed/>
    <w:rsid w:val="002B566A"/>
    <w:rPr>
      <w:color w:val="605E5C"/>
      <w:shd w:val="clear" w:color="auto" w:fill="E1DFDD"/>
    </w:rPr>
  </w:style>
  <w:style w:type="table" w:styleId="TableGrid">
    <w:name w:val="Table Grid"/>
    <w:basedOn w:val="TableNormal"/>
    <w:uiPriority w:val="39"/>
    <w:rsid w:val="005F7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376"/>
    <w:rPr>
      <w:rFonts w:ascii="Segoe UI" w:hAnsi="Segoe UI" w:cs="Segoe UI"/>
      <w:sz w:val="18"/>
      <w:szCs w:val="18"/>
    </w:rPr>
  </w:style>
  <w:style w:type="paragraph" w:styleId="Revision">
    <w:name w:val="Revision"/>
    <w:hidden/>
    <w:uiPriority w:val="99"/>
    <w:semiHidden/>
    <w:rsid w:val="00723CA4"/>
    <w:pPr>
      <w:spacing w:after="0" w:line="240" w:lineRule="auto"/>
    </w:pPr>
  </w:style>
  <w:style w:type="paragraph" w:styleId="ListParagraph">
    <w:name w:val="List Paragraph"/>
    <w:basedOn w:val="Normal"/>
    <w:uiPriority w:val="34"/>
    <w:qFormat/>
    <w:rsid w:val="00427253"/>
    <w:pPr>
      <w:ind w:left="720"/>
      <w:contextualSpacing/>
    </w:pPr>
  </w:style>
  <w:style w:type="character" w:styleId="FollowedHyperlink">
    <w:name w:val="FollowedHyperlink"/>
    <w:basedOn w:val="DefaultParagraphFont"/>
    <w:uiPriority w:val="99"/>
    <w:semiHidden/>
    <w:unhideWhenUsed/>
    <w:rsid w:val="008B4D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125">
      <w:bodyDiv w:val="1"/>
      <w:marLeft w:val="0"/>
      <w:marRight w:val="0"/>
      <w:marTop w:val="0"/>
      <w:marBottom w:val="0"/>
      <w:divBdr>
        <w:top w:val="none" w:sz="0" w:space="0" w:color="auto"/>
        <w:left w:val="none" w:sz="0" w:space="0" w:color="auto"/>
        <w:bottom w:val="none" w:sz="0" w:space="0" w:color="auto"/>
        <w:right w:val="none" w:sz="0" w:space="0" w:color="auto"/>
      </w:divBdr>
    </w:div>
    <w:div w:id="101653740">
      <w:bodyDiv w:val="1"/>
      <w:marLeft w:val="0"/>
      <w:marRight w:val="0"/>
      <w:marTop w:val="0"/>
      <w:marBottom w:val="0"/>
      <w:divBdr>
        <w:top w:val="none" w:sz="0" w:space="0" w:color="auto"/>
        <w:left w:val="none" w:sz="0" w:space="0" w:color="auto"/>
        <w:bottom w:val="none" w:sz="0" w:space="0" w:color="auto"/>
        <w:right w:val="none" w:sz="0" w:space="0" w:color="auto"/>
      </w:divBdr>
    </w:div>
    <w:div w:id="582227042">
      <w:bodyDiv w:val="1"/>
      <w:marLeft w:val="0"/>
      <w:marRight w:val="0"/>
      <w:marTop w:val="0"/>
      <w:marBottom w:val="0"/>
      <w:divBdr>
        <w:top w:val="none" w:sz="0" w:space="0" w:color="auto"/>
        <w:left w:val="none" w:sz="0" w:space="0" w:color="auto"/>
        <w:bottom w:val="none" w:sz="0" w:space="0" w:color="auto"/>
        <w:right w:val="none" w:sz="0" w:space="0" w:color="auto"/>
      </w:divBdr>
    </w:div>
    <w:div w:id="616764490">
      <w:bodyDiv w:val="1"/>
      <w:marLeft w:val="0"/>
      <w:marRight w:val="0"/>
      <w:marTop w:val="0"/>
      <w:marBottom w:val="0"/>
      <w:divBdr>
        <w:top w:val="none" w:sz="0" w:space="0" w:color="auto"/>
        <w:left w:val="none" w:sz="0" w:space="0" w:color="auto"/>
        <w:bottom w:val="none" w:sz="0" w:space="0" w:color="auto"/>
        <w:right w:val="none" w:sz="0" w:space="0" w:color="auto"/>
      </w:divBdr>
    </w:div>
    <w:div w:id="1284456495">
      <w:bodyDiv w:val="1"/>
      <w:marLeft w:val="0"/>
      <w:marRight w:val="0"/>
      <w:marTop w:val="0"/>
      <w:marBottom w:val="0"/>
      <w:divBdr>
        <w:top w:val="none" w:sz="0" w:space="0" w:color="auto"/>
        <w:left w:val="none" w:sz="0" w:space="0" w:color="auto"/>
        <w:bottom w:val="none" w:sz="0" w:space="0" w:color="auto"/>
        <w:right w:val="none" w:sz="0" w:space="0" w:color="auto"/>
      </w:divBdr>
    </w:div>
    <w:div w:id="1452701346">
      <w:bodyDiv w:val="1"/>
      <w:marLeft w:val="0"/>
      <w:marRight w:val="0"/>
      <w:marTop w:val="0"/>
      <w:marBottom w:val="0"/>
      <w:divBdr>
        <w:top w:val="none" w:sz="0" w:space="0" w:color="auto"/>
        <w:left w:val="none" w:sz="0" w:space="0" w:color="auto"/>
        <w:bottom w:val="none" w:sz="0" w:space="0" w:color="auto"/>
        <w:right w:val="none" w:sz="0" w:space="0" w:color="auto"/>
      </w:divBdr>
      <w:divsChild>
        <w:div w:id="519592405">
          <w:marLeft w:val="0"/>
          <w:marRight w:val="0"/>
          <w:marTop w:val="225"/>
          <w:marBottom w:val="0"/>
          <w:divBdr>
            <w:top w:val="none" w:sz="0" w:space="0" w:color="auto"/>
            <w:left w:val="none" w:sz="0" w:space="0" w:color="auto"/>
            <w:bottom w:val="none" w:sz="0" w:space="0" w:color="auto"/>
            <w:right w:val="none" w:sz="0" w:space="0" w:color="auto"/>
          </w:divBdr>
        </w:div>
        <w:div w:id="1919904206">
          <w:marLeft w:val="0"/>
          <w:marRight w:val="0"/>
          <w:marTop w:val="225"/>
          <w:marBottom w:val="0"/>
          <w:divBdr>
            <w:top w:val="none" w:sz="0" w:space="0" w:color="auto"/>
            <w:left w:val="none" w:sz="0" w:space="0" w:color="auto"/>
            <w:bottom w:val="none" w:sz="0" w:space="0" w:color="auto"/>
            <w:right w:val="none" w:sz="0" w:space="0" w:color="auto"/>
          </w:divBdr>
        </w:div>
        <w:div w:id="590704416">
          <w:marLeft w:val="0"/>
          <w:marRight w:val="0"/>
          <w:marTop w:val="225"/>
          <w:marBottom w:val="0"/>
          <w:divBdr>
            <w:top w:val="none" w:sz="0" w:space="0" w:color="auto"/>
            <w:left w:val="none" w:sz="0" w:space="0" w:color="auto"/>
            <w:bottom w:val="none" w:sz="0" w:space="0" w:color="auto"/>
            <w:right w:val="none" w:sz="0" w:space="0" w:color="auto"/>
          </w:divBdr>
        </w:div>
        <w:div w:id="1090201094">
          <w:marLeft w:val="0"/>
          <w:marRight w:val="0"/>
          <w:marTop w:val="225"/>
          <w:marBottom w:val="0"/>
          <w:divBdr>
            <w:top w:val="none" w:sz="0" w:space="0" w:color="auto"/>
            <w:left w:val="none" w:sz="0" w:space="0" w:color="auto"/>
            <w:bottom w:val="none" w:sz="0" w:space="0" w:color="auto"/>
            <w:right w:val="none" w:sz="0" w:space="0" w:color="auto"/>
          </w:divBdr>
        </w:div>
      </w:divsChild>
    </w:div>
    <w:div w:id="1476415871">
      <w:bodyDiv w:val="1"/>
      <w:marLeft w:val="0"/>
      <w:marRight w:val="0"/>
      <w:marTop w:val="0"/>
      <w:marBottom w:val="0"/>
      <w:divBdr>
        <w:top w:val="none" w:sz="0" w:space="0" w:color="auto"/>
        <w:left w:val="none" w:sz="0" w:space="0" w:color="auto"/>
        <w:bottom w:val="none" w:sz="0" w:space="0" w:color="auto"/>
        <w:right w:val="none" w:sz="0" w:space="0" w:color="auto"/>
      </w:divBdr>
    </w:div>
    <w:div w:id="1559633762">
      <w:bodyDiv w:val="1"/>
      <w:marLeft w:val="0"/>
      <w:marRight w:val="0"/>
      <w:marTop w:val="0"/>
      <w:marBottom w:val="0"/>
      <w:divBdr>
        <w:top w:val="none" w:sz="0" w:space="0" w:color="auto"/>
        <w:left w:val="none" w:sz="0" w:space="0" w:color="auto"/>
        <w:bottom w:val="none" w:sz="0" w:space="0" w:color="auto"/>
        <w:right w:val="none" w:sz="0" w:space="0" w:color="auto"/>
      </w:divBdr>
    </w:div>
    <w:div w:id="1752504649">
      <w:bodyDiv w:val="1"/>
      <w:marLeft w:val="0"/>
      <w:marRight w:val="0"/>
      <w:marTop w:val="0"/>
      <w:marBottom w:val="0"/>
      <w:divBdr>
        <w:top w:val="none" w:sz="0" w:space="0" w:color="auto"/>
        <w:left w:val="none" w:sz="0" w:space="0" w:color="auto"/>
        <w:bottom w:val="none" w:sz="0" w:space="0" w:color="auto"/>
        <w:right w:val="none" w:sz="0" w:space="0" w:color="auto"/>
      </w:divBdr>
    </w:div>
    <w:div w:id="189388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anjalifoods.com/investor/Annexure_FORM_15G.docx" TargetMode="External"/><Relationship Id="rId13" Type="http://schemas.openxmlformats.org/officeDocument/2006/relationships/hyperlink" Target="http://www.patanjalifoods.com/investor/Annexure_Declaration_of_category_of_shareholder_new.docx" TargetMode="External"/><Relationship Id="rId18" Type="http://schemas.openxmlformats.org/officeDocument/2006/relationships/hyperlink" Target="http://www.patanjalifoods.com/investor/Annexure_TDS_Declaration_Format_under_Rule_37BA_new.docx" TargetMode="External"/><Relationship Id="rId3" Type="http://schemas.openxmlformats.org/officeDocument/2006/relationships/settings" Target="settings.xml"/><Relationship Id="rId21" Type="http://schemas.openxmlformats.org/officeDocument/2006/relationships/hyperlink" Target="http://www.patanjalifoods.com/investor/Annexure_Declaration_regarding_Tax_Residency.docx" TargetMode="External"/><Relationship Id="rId7" Type="http://schemas.openxmlformats.org/officeDocument/2006/relationships/hyperlink" Target="http://www.patanjalifoods.com" TargetMode="External"/><Relationship Id="rId12" Type="http://schemas.openxmlformats.org/officeDocument/2006/relationships/hyperlink" Target="http://www.patanjalifoods.com/investor/Annexure_Declaration_of_category_of_shareholder_new.docx" TargetMode="External"/><Relationship Id="rId17" Type="http://schemas.openxmlformats.org/officeDocument/2006/relationships/hyperlink" Target="http://www.patanjalifoods.com/investor/Annexure_Declaration_of_category_of_shareholder_new.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atanjalifoods.com/investor/Annexure_Declaration_of_category_of_shareholder_new.docx" TargetMode="External"/><Relationship Id="rId20" Type="http://schemas.openxmlformats.org/officeDocument/2006/relationships/hyperlink" Target="http://www.patanjalifoods.com/investor/Annexure_FORM_10F.docx" TargetMode="External"/><Relationship Id="rId1" Type="http://schemas.openxmlformats.org/officeDocument/2006/relationships/numbering" Target="numbering.xml"/><Relationship Id="rId6" Type="http://schemas.openxmlformats.org/officeDocument/2006/relationships/hyperlink" Target="mailto:secretarial@patanjalifoods.co.in" TargetMode="External"/><Relationship Id="rId11" Type="http://schemas.openxmlformats.org/officeDocument/2006/relationships/hyperlink" Target="http://www.patanjalifoods.com/investor/Annexure_Declaration_of_category_of_shareholder_new.docx"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patanjalifoods.com/investor/Annexure_Declaration_of_category_of_shareholder_new.docx" TargetMode="External"/><Relationship Id="rId23" Type="http://schemas.openxmlformats.org/officeDocument/2006/relationships/hyperlink" Target="https://incometaxindiaefiling.gov.in" TargetMode="External"/><Relationship Id="rId10" Type="http://schemas.openxmlformats.org/officeDocument/2006/relationships/hyperlink" Target="http://www.patanjalifoods.com/investor/Annexure_Declaration_of_category_of_shareholder_new.docx" TargetMode="External"/><Relationship Id="rId19" Type="http://schemas.openxmlformats.org/officeDocument/2006/relationships/hyperlink" Target="http://www.patanjalifoods.com/investor/Appendix_A_for_Rule_37BA.xlsx" TargetMode="External"/><Relationship Id="rId4" Type="http://schemas.openxmlformats.org/officeDocument/2006/relationships/webSettings" Target="webSettings.xml"/><Relationship Id="rId9" Type="http://schemas.openxmlformats.org/officeDocument/2006/relationships/hyperlink" Target="http://www.patanjalifoods.com/investor/Annexure_FORM_15H.docx" TargetMode="External"/><Relationship Id="rId14" Type="http://schemas.openxmlformats.org/officeDocument/2006/relationships/hyperlink" Target="http://www.patanjalifoods.com/investor/Annexure_Declaration_of_category_of_shareholder_new.docx" TargetMode="External"/><Relationship Id="rId22" Type="http://schemas.openxmlformats.org/officeDocument/2006/relationships/hyperlink" Target="mailto:investors@sarthak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Dharmendra Soyal</dc:creator>
  <cp:keywords/>
  <dc:description/>
  <cp:lastModifiedBy>Neeraj Jain</cp:lastModifiedBy>
  <cp:revision>32</cp:revision>
  <cp:lastPrinted>2022-08-11T06:04:00Z</cp:lastPrinted>
  <dcterms:created xsi:type="dcterms:W3CDTF">2023-06-29T05:58:00Z</dcterms:created>
  <dcterms:modified xsi:type="dcterms:W3CDTF">2023-07-05T05:46:00Z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2023-06-27T10:30:01Z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056a3efe-c314-4dd7-bfa7-a1f7ea61d2cf</vt:lpwstr>
  </property>
  <property fmtid="{D5CDD505-2E9C-101B-9397-08002B2CF9AE}" pid="7" name="MSIP_Label_defa4170-0d19-0005-0004-bc88714345d2_ActionId">
    <vt:lpwstr>ca51e2e6-3798-42ee-ae62-92992bad1142</vt:lpwstr>
  </property>
  <property fmtid="{D5CDD505-2E9C-101B-9397-08002B2CF9AE}" pid="8" name="MSIP_Label_defa4170-0d19-0005-0004-bc88714345d2_ContentBits">
    <vt:lpwstr>0</vt:lpwstr>
  </property>
  <property fmtid="{D5CDD505-2E9C-101B-9397-08002B2CF9AE}" pid="9" name="GrammarlyDocumentId">
    <vt:lpwstr>d1997c700ff9adc2c03a6ece69d5040618d6fdc24725e1c1f5d519ade0a87d0f</vt:lpwstr>
  </property>
</Properties>
</file>