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2C" w:rsidRPr="00846310" w:rsidRDefault="00DB2B2C" w:rsidP="00CE555B">
      <w:pPr>
        <w:widowControl w:val="0"/>
        <w:autoSpaceDE w:val="0"/>
        <w:autoSpaceDN w:val="0"/>
        <w:spacing w:after="0" w:line="226" w:lineRule="exact"/>
        <w:rPr>
          <w:rFonts w:ascii="Times New Roman" w:hAnsi="Times New Roman" w:cs="Times New Roman"/>
          <w:color w:val="000000"/>
          <w:spacing w:val="3"/>
          <w:sz w:val="19"/>
        </w:rPr>
      </w:pPr>
      <w:r w:rsidRPr="00846310">
        <w:rPr>
          <w:rFonts w:ascii="Times New Roman" w:hAnsi="Times New Roman" w:cs="Times New Roman"/>
          <w:color w:val="000000"/>
          <w:spacing w:val="3"/>
          <w:sz w:val="19"/>
        </w:rPr>
        <w:t xml:space="preserve">Dear Shareholder, </w:t>
      </w:r>
    </w:p>
    <w:p w:rsidR="00846310" w:rsidRPr="00846310" w:rsidRDefault="00DB2B2C" w:rsidP="00846310">
      <w:pPr>
        <w:widowControl w:val="0"/>
        <w:autoSpaceDE w:val="0"/>
        <w:autoSpaceDN w:val="0"/>
        <w:spacing w:after="0" w:line="226" w:lineRule="exact"/>
        <w:jc w:val="center"/>
        <w:rPr>
          <w:rFonts w:ascii="Times New Roman" w:hAnsi="Times New Roman" w:cs="Times New Roman"/>
          <w:b/>
          <w:color w:val="000000"/>
          <w:spacing w:val="3"/>
          <w:sz w:val="19"/>
          <w:u w:val="single"/>
        </w:rPr>
      </w:pPr>
      <w:r w:rsidRPr="00DB2B2C">
        <w:rPr>
          <w:rFonts w:ascii="Times New Roman" w:hAnsi="Times New Roman" w:cs="Times New Roman"/>
          <w:b/>
          <w:color w:val="000000"/>
          <w:spacing w:val="3"/>
          <w:sz w:val="19"/>
          <w:u w:val="single"/>
        </w:rPr>
        <w:t xml:space="preserve">RE: </w:t>
      </w:r>
      <w:r w:rsidR="001060E4" w:rsidRPr="00DB2B2C">
        <w:rPr>
          <w:rFonts w:ascii="Times New Roman" w:hAnsi="Times New Roman" w:cs="Times New Roman"/>
          <w:b/>
          <w:color w:val="000000"/>
          <w:spacing w:val="3"/>
          <w:sz w:val="19"/>
          <w:u w:val="single"/>
        </w:rPr>
        <w:t xml:space="preserve">UPDATION OF PAN, KYC, </w:t>
      </w:r>
      <w:r w:rsidR="001060E4">
        <w:rPr>
          <w:rFonts w:ascii="Times New Roman" w:hAnsi="Times New Roman" w:cs="Times New Roman"/>
          <w:b/>
          <w:color w:val="000000"/>
          <w:spacing w:val="3"/>
          <w:sz w:val="19"/>
          <w:u w:val="single"/>
        </w:rPr>
        <w:t xml:space="preserve">NOMINATION AND BANK DETAILS </w:t>
      </w:r>
      <w:r w:rsidR="00F95E6C">
        <w:rPr>
          <w:rFonts w:ascii="Times New Roman" w:hAnsi="Times New Roman" w:cs="Times New Roman"/>
          <w:b/>
          <w:color w:val="000000"/>
          <w:spacing w:val="3"/>
          <w:sz w:val="19"/>
          <w:u w:val="single"/>
        </w:rPr>
        <w:t>etc</w:t>
      </w:r>
      <w:r w:rsidR="00846310">
        <w:rPr>
          <w:rFonts w:ascii="Times New Roman" w:hAnsi="Times New Roman" w:cs="Times New Roman"/>
          <w:b/>
          <w:color w:val="000000"/>
          <w:spacing w:val="3"/>
          <w:sz w:val="19"/>
          <w:u w:val="single"/>
        </w:rPr>
        <w:t>.</w:t>
      </w:r>
    </w:p>
    <w:p w:rsidR="00F565E2" w:rsidRDefault="00DB2B2C" w:rsidP="00CE555B">
      <w:pPr>
        <w:widowControl w:val="0"/>
        <w:autoSpaceDE w:val="0"/>
        <w:autoSpaceDN w:val="0"/>
        <w:spacing w:after="0" w:line="226" w:lineRule="exact"/>
        <w:rPr>
          <w:rFonts w:ascii="Times New Roman" w:hAnsi="Times New Roman" w:cs="Times New Roman"/>
          <w:color w:val="000000"/>
          <w:sz w:val="18"/>
        </w:rPr>
      </w:pPr>
      <w:r>
        <w:rPr>
          <w:rFonts w:ascii="Times New Roman" w:hAnsi="Times New Roman" w:cs="Times New Roman"/>
          <w:color w:val="000000"/>
          <w:sz w:val="18"/>
        </w:rPr>
        <w:t xml:space="preserve">The </w:t>
      </w:r>
      <w:r w:rsidR="00C15949" w:rsidRPr="00CE555B">
        <w:rPr>
          <w:rFonts w:ascii="Times New Roman" w:hAnsi="Times New Roman" w:cs="Times New Roman"/>
          <w:color w:val="000000"/>
          <w:sz w:val="18"/>
        </w:rPr>
        <w:t>Securities and Exchange Board of India (“SEBI”) vide its circular No. SEBI/HO/MIRSD/MIRSD_RTAMB/P/CIR/2021/655 dated November 3, 2021 read with Circular No. SEBI/HO/MIRSD/MIRSD_RTAMB/P/CIR/2021/687 dated December 14, 2021</w:t>
      </w:r>
      <w:r w:rsidR="00F565E2">
        <w:rPr>
          <w:rFonts w:ascii="Times New Roman" w:hAnsi="Times New Roman" w:cs="Times New Roman"/>
          <w:color w:val="000000"/>
          <w:sz w:val="18"/>
        </w:rPr>
        <w:t xml:space="preserve">, has made it mandatory for the shareholders holding securities in physical form to furnish PAN, KYC details and Nomination to the Registrar and Share Transfer Agent (‘RTA’) of the Company i.e. </w:t>
      </w:r>
      <w:proofErr w:type="spellStart"/>
      <w:r w:rsidR="00F565E2">
        <w:rPr>
          <w:rFonts w:ascii="Times New Roman" w:hAnsi="Times New Roman" w:cs="Times New Roman"/>
          <w:color w:val="000000"/>
          <w:sz w:val="18"/>
        </w:rPr>
        <w:t>Sarthak</w:t>
      </w:r>
      <w:proofErr w:type="spellEnd"/>
      <w:r w:rsidR="00F565E2">
        <w:rPr>
          <w:rFonts w:ascii="Times New Roman" w:hAnsi="Times New Roman" w:cs="Times New Roman"/>
          <w:color w:val="000000"/>
          <w:sz w:val="18"/>
        </w:rPr>
        <w:t xml:space="preserve"> Global Limited.</w:t>
      </w:r>
    </w:p>
    <w:p w:rsidR="00CE555B" w:rsidRPr="00CE555B" w:rsidRDefault="00C15949" w:rsidP="00CE555B">
      <w:pPr>
        <w:widowControl w:val="0"/>
        <w:autoSpaceDE w:val="0"/>
        <w:autoSpaceDN w:val="0"/>
        <w:spacing w:after="0" w:line="226" w:lineRule="exact"/>
        <w:rPr>
          <w:rFonts w:ascii="Times New Roman" w:hAnsi="Times New Roman" w:cs="Times New Roman"/>
          <w:b/>
          <w:color w:val="000000"/>
          <w:sz w:val="18"/>
        </w:rPr>
      </w:pPr>
      <w:r w:rsidRPr="00CE555B">
        <w:rPr>
          <w:rFonts w:ascii="Times New Roman" w:hAnsi="Times New Roman" w:cs="Times New Roman"/>
          <w:b/>
          <w:color w:val="000000"/>
          <w:sz w:val="18"/>
        </w:rPr>
        <w:t>Shareholders holding shares in physical form shall provide the following documents / details to the RTA</w:t>
      </w:r>
      <w:r w:rsidR="007A0CCA">
        <w:rPr>
          <w:rFonts w:ascii="Times New Roman" w:hAnsi="Times New Roman" w:cs="Times New Roman"/>
          <w:b/>
          <w:color w:val="000000"/>
          <w:sz w:val="18"/>
        </w:rPr>
        <w:t xml:space="preserve"> (i.e. </w:t>
      </w:r>
      <w:proofErr w:type="spellStart"/>
      <w:r w:rsidR="007A0CCA">
        <w:rPr>
          <w:rFonts w:ascii="Times New Roman" w:hAnsi="Times New Roman" w:cs="Times New Roman"/>
          <w:b/>
          <w:color w:val="000000"/>
          <w:sz w:val="18"/>
        </w:rPr>
        <w:t>Sarthak</w:t>
      </w:r>
      <w:proofErr w:type="spellEnd"/>
      <w:r w:rsidR="007A0CCA">
        <w:rPr>
          <w:rFonts w:ascii="Times New Roman" w:hAnsi="Times New Roman" w:cs="Times New Roman"/>
          <w:b/>
          <w:color w:val="000000"/>
          <w:sz w:val="18"/>
        </w:rPr>
        <w:t xml:space="preserve"> Global Limited)</w:t>
      </w:r>
      <w:r w:rsidRPr="00CE555B">
        <w:rPr>
          <w:rFonts w:ascii="Times New Roman" w:hAnsi="Times New Roman" w:cs="Times New Roman"/>
          <w:b/>
          <w:color w:val="000000"/>
          <w:sz w:val="18"/>
        </w:rPr>
        <w:t xml:space="preserve"> of the</w:t>
      </w:r>
      <w:r w:rsidR="00CE555B" w:rsidRPr="00CE555B">
        <w:rPr>
          <w:rFonts w:ascii="Times New Roman" w:hAnsi="Times New Roman" w:cs="Times New Roman"/>
          <w:b/>
          <w:color w:val="000000"/>
          <w:sz w:val="18"/>
        </w:rPr>
        <w:t xml:space="preserve"> </w:t>
      </w:r>
      <w:r w:rsidRPr="00CE555B">
        <w:rPr>
          <w:rFonts w:ascii="Times New Roman" w:hAnsi="Times New Roman" w:cs="Times New Roman"/>
          <w:b/>
          <w:color w:val="000000"/>
          <w:sz w:val="18"/>
        </w:rPr>
        <w:t>Company:</w:t>
      </w:r>
    </w:p>
    <w:p w:rsidR="00CE555B" w:rsidRPr="00CE555B" w:rsidRDefault="00C15949" w:rsidP="00DB2B2C">
      <w:pPr>
        <w:widowControl w:val="0"/>
        <w:autoSpaceDE w:val="0"/>
        <w:autoSpaceDN w:val="0"/>
        <w:spacing w:after="0" w:line="240" w:lineRule="auto"/>
        <w:rPr>
          <w:rFonts w:ascii="Times New Roman" w:hAnsi="Times New Roman" w:cs="Times New Roman"/>
          <w:color w:val="000000"/>
          <w:sz w:val="18"/>
        </w:rPr>
      </w:pPr>
      <w:r w:rsidRPr="00CE555B">
        <w:rPr>
          <w:rFonts w:ascii="Times New Roman" w:hAnsi="Times New Roman" w:cs="Times New Roman"/>
          <w:color w:val="000000"/>
          <w:sz w:val="18"/>
        </w:rPr>
        <w:t>1. Permanent Account Number (“PAN”).</w:t>
      </w:r>
    </w:p>
    <w:p w:rsidR="00CE555B" w:rsidRPr="00CE555B" w:rsidRDefault="00C15949" w:rsidP="00DB2B2C">
      <w:pPr>
        <w:widowControl w:val="0"/>
        <w:autoSpaceDE w:val="0"/>
        <w:autoSpaceDN w:val="0"/>
        <w:spacing w:after="0" w:line="240" w:lineRule="auto"/>
        <w:rPr>
          <w:rFonts w:ascii="Times New Roman" w:hAnsi="Times New Roman" w:cs="Times New Roman"/>
          <w:color w:val="000000"/>
          <w:sz w:val="18"/>
        </w:rPr>
      </w:pPr>
      <w:r w:rsidRPr="00CE555B">
        <w:rPr>
          <w:rFonts w:ascii="Times New Roman" w:hAnsi="Times New Roman" w:cs="Times New Roman"/>
          <w:color w:val="000000"/>
          <w:sz w:val="18"/>
        </w:rPr>
        <w:t>2. Nomination (for all eligible folios) in Form No. SH-13 or submit declaration to “Opt-Out” in Form No. IS</w:t>
      </w:r>
      <w:r w:rsidR="00B378AB">
        <w:rPr>
          <w:rFonts w:ascii="Times New Roman" w:hAnsi="Times New Roman" w:cs="Times New Roman"/>
          <w:color w:val="000000"/>
          <w:sz w:val="18"/>
        </w:rPr>
        <w:t xml:space="preserve">R-3 </w:t>
      </w:r>
      <w:r w:rsidR="00CE555B" w:rsidRPr="00CE555B">
        <w:rPr>
          <w:rFonts w:ascii="Times New Roman" w:hAnsi="Times New Roman" w:cs="Times New Roman"/>
          <w:color w:val="000000"/>
          <w:sz w:val="18"/>
        </w:rPr>
        <w:t>(</w:t>
      </w:r>
      <w:r w:rsidRPr="00CE555B">
        <w:rPr>
          <w:rFonts w:ascii="Times New Roman" w:hAnsi="Times New Roman" w:cs="Times New Roman"/>
          <w:color w:val="000000"/>
          <w:sz w:val="18"/>
        </w:rPr>
        <w:t>Note: Any cancellation or change in nomination shall be provided in Form No. SH-14.</w:t>
      </w:r>
      <w:r w:rsidR="00CE555B" w:rsidRPr="00CE555B">
        <w:rPr>
          <w:rFonts w:ascii="Times New Roman" w:hAnsi="Times New Roman" w:cs="Times New Roman"/>
          <w:color w:val="000000"/>
          <w:sz w:val="18"/>
        </w:rPr>
        <w:t>)</w:t>
      </w:r>
    </w:p>
    <w:p w:rsidR="00CE555B" w:rsidRPr="00CE555B" w:rsidRDefault="00C15949" w:rsidP="00DB2B2C">
      <w:pPr>
        <w:widowControl w:val="0"/>
        <w:autoSpaceDE w:val="0"/>
        <w:autoSpaceDN w:val="0"/>
        <w:spacing w:after="0" w:line="240" w:lineRule="auto"/>
        <w:rPr>
          <w:rFonts w:ascii="Times New Roman" w:hAnsi="Times New Roman" w:cs="Times New Roman"/>
          <w:color w:val="000000"/>
          <w:sz w:val="18"/>
        </w:rPr>
      </w:pPr>
      <w:r w:rsidRPr="00CE555B">
        <w:rPr>
          <w:rFonts w:ascii="Times New Roman" w:hAnsi="Times New Roman" w:cs="Times New Roman"/>
          <w:color w:val="000000"/>
          <w:sz w:val="18"/>
        </w:rPr>
        <w:t>3. Contact details including address available with RTA with PIN code, Mobile Number, e-mail address.</w:t>
      </w:r>
    </w:p>
    <w:p w:rsidR="00C15949" w:rsidRPr="00CE555B" w:rsidRDefault="00C15949" w:rsidP="00DB2B2C">
      <w:pPr>
        <w:widowControl w:val="0"/>
        <w:autoSpaceDE w:val="0"/>
        <w:autoSpaceDN w:val="0"/>
        <w:spacing w:after="0" w:line="240" w:lineRule="auto"/>
        <w:rPr>
          <w:rFonts w:ascii="Times New Roman" w:hAnsi="Times New Roman" w:cs="Times New Roman"/>
          <w:color w:val="000000"/>
          <w:sz w:val="18"/>
        </w:rPr>
      </w:pPr>
      <w:r w:rsidRPr="00CE555B">
        <w:rPr>
          <w:rFonts w:ascii="Times New Roman" w:hAnsi="Times New Roman" w:cs="Times New Roman"/>
          <w:color w:val="000000"/>
          <w:sz w:val="18"/>
        </w:rPr>
        <w:t>4. Bank account details (bank name and branch, bank account number, IFS Code).</w:t>
      </w:r>
    </w:p>
    <w:p w:rsidR="00C15949" w:rsidRPr="00CE555B" w:rsidRDefault="00C15949" w:rsidP="00DB2B2C">
      <w:pPr>
        <w:widowControl w:val="0"/>
        <w:autoSpaceDE w:val="0"/>
        <w:autoSpaceDN w:val="0"/>
        <w:spacing w:after="0" w:line="240" w:lineRule="auto"/>
        <w:rPr>
          <w:rFonts w:ascii="Times New Roman" w:hAnsi="Times New Roman" w:cs="Times New Roman"/>
          <w:color w:val="000000"/>
          <w:sz w:val="18"/>
        </w:rPr>
      </w:pPr>
      <w:r w:rsidRPr="00CE555B">
        <w:rPr>
          <w:rFonts w:ascii="Times New Roman" w:hAnsi="Times New Roman" w:cs="Times New Roman"/>
          <w:color w:val="000000"/>
          <w:sz w:val="18"/>
        </w:rPr>
        <w:t>5. Specimen signature.</w:t>
      </w:r>
    </w:p>
    <w:p w:rsidR="00C15949" w:rsidRPr="00CE555B" w:rsidRDefault="00C15949"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For data validation, it shall be mandatory to provide corresponding folio numbers along with mobile number and e-mail ID</w:t>
      </w:r>
      <w:r w:rsidR="00CE555B" w:rsidRPr="00CE555B">
        <w:rPr>
          <w:rFonts w:ascii="Times New Roman" w:hAnsi="Times New Roman" w:cs="Times New Roman"/>
          <w:color w:val="000000"/>
          <w:sz w:val="18"/>
        </w:rPr>
        <w:t xml:space="preserve"> </w:t>
      </w:r>
      <w:r w:rsidRPr="00CE555B">
        <w:rPr>
          <w:rFonts w:ascii="Times New Roman" w:hAnsi="Times New Roman" w:cs="Times New Roman"/>
          <w:color w:val="000000"/>
          <w:sz w:val="18"/>
        </w:rPr>
        <w:t>by the holder.</w:t>
      </w:r>
    </w:p>
    <w:p w:rsidR="00CE555B" w:rsidRPr="00CE555B" w:rsidRDefault="00C15949"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 xml:space="preserve">The shareholders can download the forms mentioned in SEBI circular as given </w:t>
      </w:r>
      <w:r w:rsidR="00B378AB" w:rsidRPr="00CE555B">
        <w:rPr>
          <w:rFonts w:ascii="Times New Roman" w:hAnsi="Times New Roman" w:cs="Times New Roman"/>
          <w:color w:val="000000"/>
          <w:sz w:val="18"/>
        </w:rPr>
        <w:t>below: -</w:t>
      </w:r>
    </w:p>
    <w:tbl>
      <w:tblPr>
        <w:tblStyle w:val="TableGrid"/>
        <w:tblW w:w="9039" w:type="dxa"/>
        <w:tblLook w:val="04A0" w:firstRow="1" w:lastRow="0" w:firstColumn="1" w:lastColumn="0" w:noHBand="0" w:noVBand="1"/>
      </w:tblPr>
      <w:tblGrid>
        <w:gridCol w:w="805"/>
        <w:gridCol w:w="6674"/>
        <w:gridCol w:w="1560"/>
      </w:tblGrid>
      <w:tr w:rsidR="00971B0C" w:rsidRPr="00CE555B" w:rsidTr="00971B0C">
        <w:trPr>
          <w:trHeight w:val="323"/>
        </w:trPr>
        <w:tc>
          <w:tcPr>
            <w:tcW w:w="805" w:type="dxa"/>
          </w:tcPr>
          <w:p w:rsidR="00971B0C" w:rsidRPr="00CE555B" w:rsidRDefault="00971B0C" w:rsidP="00CE555B">
            <w:pPr>
              <w:widowControl w:val="0"/>
              <w:autoSpaceDE w:val="0"/>
              <w:autoSpaceDN w:val="0"/>
              <w:spacing w:after="0" w:line="226" w:lineRule="exact"/>
              <w:rPr>
                <w:rFonts w:ascii="Times New Roman" w:hAnsi="Times New Roman" w:cs="Times New Roman"/>
                <w:b/>
                <w:color w:val="000000"/>
                <w:sz w:val="18"/>
              </w:rPr>
            </w:pPr>
            <w:r w:rsidRPr="00CE555B">
              <w:rPr>
                <w:rFonts w:ascii="Times New Roman" w:hAnsi="Times New Roman" w:cs="Times New Roman"/>
                <w:b/>
                <w:color w:val="000000"/>
                <w:sz w:val="18"/>
              </w:rPr>
              <w:t>Sr. No.</w:t>
            </w:r>
          </w:p>
        </w:tc>
        <w:tc>
          <w:tcPr>
            <w:tcW w:w="6674" w:type="dxa"/>
          </w:tcPr>
          <w:p w:rsidR="00971B0C" w:rsidRPr="00CE555B" w:rsidRDefault="00971B0C" w:rsidP="00CE555B">
            <w:pPr>
              <w:widowControl w:val="0"/>
              <w:autoSpaceDE w:val="0"/>
              <w:autoSpaceDN w:val="0"/>
              <w:spacing w:after="0" w:line="226" w:lineRule="exact"/>
              <w:rPr>
                <w:rFonts w:ascii="Times New Roman" w:hAnsi="Times New Roman" w:cs="Times New Roman"/>
                <w:b/>
                <w:color w:val="000000"/>
                <w:sz w:val="18"/>
              </w:rPr>
            </w:pPr>
            <w:r w:rsidRPr="00CE555B">
              <w:rPr>
                <w:rFonts w:ascii="Times New Roman" w:hAnsi="Times New Roman" w:cs="Times New Roman"/>
                <w:b/>
                <w:color w:val="000000"/>
                <w:sz w:val="18"/>
              </w:rPr>
              <w:t>Purpose</w:t>
            </w:r>
          </w:p>
        </w:tc>
        <w:tc>
          <w:tcPr>
            <w:tcW w:w="1560" w:type="dxa"/>
          </w:tcPr>
          <w:p w:rsidR="00971B0C" w:rsidRPr="00CE555B" w:rsidRDefault="00971B0C" w:rsidP="00CE555B">
            <w:pPr>
              <w:widowControl w:val="0"/>
              <w:autoSpaceDE w:val="0"/>
              <w:autoSpaceDN w:val="0"/>
              <w:spacing w:after="0" w:line="226" w:lineRule="exact"/>
              <w:rPr>
                <w:rFonts w:ascii="Times New Roman" w:hAnsi="Times New Roman" w:cs="Times New Roman"/>
                <w:b/>
                <w:color w:val="000000"/>
                <w:sz w:val="18"/>
              </w:rPr>
            </w:pPr>
            <w:r w:rsidRPr="00CE555B">
              <w:rPr>
                <w:rFonts w:ascii="Times New Roman" w:hAnsi="Times New Roman" w:cs="Times New Roman"/>
                <w:b/>
                <w:color w:val="000000"/>
                <w:sz w:val="18"/>
              </w:rPr>
              <w:t>Form</w:t>
            </w:r>
          </w:p>
        </w:tc>
      </w:tr>
      <w:tr w:rsidR="00971B0C" w:rsidRPr="00CE555B" w:rsidTr="00971B0C">
        <w:tc>
          <w:tcPr>
            <w:tcW w:w="805" w:type="dxa"/>
          </w:tcPr>
          <w:p w:rsidR="00971B0C" w:rsidRPr="00CE555B" w:rsidRDefault="00971B0C" w:rsidP="00DB2B2C">
            <w:pPr>
              <w:widowControl w:val="0"/>
              <w:autoSpaceDE w:val="0"/>
              <w:autoSpaceDN w:val="0"/>
              <w:spacing w:after="0" w:line="226" w:lineRule="exact"/>
              <w:jc w:val="center"/>
              <w:rPr>
                <w:rFonts w:ascii="Times New Roman" w:hAnsi="Times New Roman" w:cs="Times New Roman"/>
                <w:color w:val="000000"/>
                <w:sz w:val="18"/>
              </w:rPr>
            </w:pPr>
            <w:r w:rsidRPr="00CE555B">
              <w:rPr>
                <w:rFonts w:ascii="Times New Roman" w:hAnsi="Times New Roman" w:cs="Times New Roman"/>
                <w:color w:val="000000"/>
                <w:sz w:val="18"/>
              </w:rPr>
              <w:t>1.</w:t>
            </w:r>
          </w:p>
        </w:tc>
        <w:tc>
          <w:tcPr>
            <w:tcW w:w="6674"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Request for Registering PAN, KYC details or Changes/</w:t>
            </w:r>
            <w:proofErr w:type="spellStart"/>
            <w:r w:rsidRPr="00CE555B">
              <w:rPr>
                <w:rFonts w:ascii="Times New Roman" w:hAnsi="Times New Roman" w:cs="Times New Roman"/>
                <w:color w:val="000000"/>
                <w:sz w:val="18"/>
              </w:rPr>
              <w:t>updations</w:t>
            </w:r>
            <w:proofErr w:type="spellEnd"/>
            <w:r w:rsidRPr="00CE555B">
              <w:rPr>
                <w:rFonts w:ascii="Times New Roman" w:hAnsi="Times New Roman" w:cs="Times New Roman"/>
                <w:color w:val="000000"/>
                <w:sz w:val="18"/>
              </w:rPr>
              <w:t xml:space="preserve"> thereof (only for securities held in physical form)</w:t>
            </w:r>
          </w:p>
        </w:tc>
        <w:tc>
          <w:tcPr>
            <w:tcW w:w="1560"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Form ISR-1</w:t>
            </w:r>
          </w:p>
        </w:tc>
      </w:tr>
      <w:tr w:rsidR="00971B0C" w:rsidRPr="00CE555B" w:rsidTr="00971B0C">
        <w:tc>
          <w:tcPr>
            <w:tcW w:w="805" w:type="dxa"/>
          </w:tcPr>
          <w:p w:rsidR="00971B0C" w:rsidRPr="00CE555B" w:rsidRDefault="00971B0C" w:rsidP="00DB2B2C">
            <w:pPr>
              <w:widowControl w:val="0"/>
              <w:autoSpaceDE w:val="0"/>
              <w:autoSpaceDN w:val="0"/>
              <w:spacing w:after="0" w:line="226" w:lineRule="exact"/>
              <w:jc w:val="center"/>
              <w:rPr>
                <w:rFonts w:ascii="Times New Roman" w:hAnsi="Times New Roman" w:cs="Times New Roman"/>
                <w:color w:val="000000"/>
                <w:sz w:val="18"/>
              </w:rPr>
            </w:pPr>
            <w:r w:rsidRPr="00CE555B">
              <w:rPr>
                <w:rFonts w:ascii="Times New Roman" w:hAnsi="Times New Roman" w:cs="Times New Roman"/>
                <w:color w:val="000000"/>
                <w:sz w:val="18"/>
              </w:rPr>
              <w:t>2.</w:t>
            </w:r>
          </w:p>
        </w:tc>
        <w:tc>
          <w:tcPr>
            <w:tcW w:w="6674"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Confirmation of Signature of securities holder by Banker</w:t>
            </w:r>
          </w:p>
        </w:tc>
        <w:tc>
          <w:tcPr>
            <w:tcW w:w="1560"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Form ISR-2</w:t>
            </w:r>
          </w:p>
        </w:tc>
      </w:tr>
      <w:tr w:rsidR="00971B0C" w:rsidRPr="00CE555B" w:rsidTr="00971B0C">
        <w:tc>
          <w:tcPr>
            <w:tcW w:w="805" w:type="dxa"/>
          </w:tcPr>
          <w:p w:rsidR="00971B0C" w:rsidRPr="00CE555B" w:rsidRDefault="00971B0C" w:rsidP="00DB2B2C">
            <w:pPr>
              <w:widowControl w:val="0"/>
              <w:autoSpaceDE w:val="0"/>
              <w:autoSpaceDN w:val="0"/>
              <w:spacing w:after="0" w:line="226" w:lineRule="exact"/>
              <w:jc w:val="center"/>
              <w:rPr>
                <w:rFonts w:ascii="Times New Roman" w:hAnsi="Times New Roman" w:cs="Times New Roman"/>
                <w:color w:val="000000"/>
                <w:sz w:val="18"/>
              </w:rPr>
            </w:pPr>
            <w:r w:rsidRPr="00CE555B">
              <w:rPr>
                <w:rFonts w:ascii="Times New Roman" w:hAnsi="Times New Roman" w:cs="Times New Roman"/>
                <w:color w:val="000000"/>
                <w:sz w:val="18"/>
              </w:rPr>
              <w:t>3.</w:t>
            </w:r>
          </w:p>
        </w:tc>
        <w:tc>
          <w:tcPr>
            <w:tcW w:w="6674"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Declaration form for Opting-out of Nomination by holders of physical securities</w:t>
            </w:r>
          </w:p>
        </w:tc>
        <w:tc>
          <w:tcPr>
            <w:tcW w:w="1560"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Form ISR-3</w:t>
            </w:r>
          </w:p>
        </w:tc>
      </w:tr>
      <w:tr w:rsidR="00971B0C" w:rsidRPr="00CE555B" w:rsidTr="00971B0C">
        <w:tc>
          <w:tcPr>
            <w:tcW w:w="805" w:type="dxa"/>
          </w:tcPr>
          <w:p w:rsidR="00971B0C" w:rsidRPr="00CE555B" w:rsidRDefault="00971B0C" w:rsidP="00DB2B2C">
            <w:pPr>
              <w:widowControl w:val="0"/>
              <w:autoSpaceDE w:val="0"/>
              <w:autoSpaceDN w:val="0"/>
              <w:spacing w:after="0" w:line="226" w:lineRule="exact"/>
              <w:jc w:val="center"/>
              <w:rPr>
                <w:rFonts w:ascii="Times New Roman" w:hAnsi="Times New Roman" w:cs="Times New Roman"/>
                <w:color w:val="000000"/>
                <w:sz w:val="18"/>
              </w:rPr>
            </w:pPr>
            <w:r w:rsidRPr="00CE555B">
              <w:rPr>
                <w:rFonts w:ascii="Times New Roman" w:hAnsi="Times New Roman" w:cs="Times New Roman"/>
                <w:color w:val="000000"/>
                <w:sz w:val="18"/>
              </w:rPr>
              <w:t>4.</w:t>
            </w:r>
          </w:p>
        </w:tc>
        <w:tc>
          <w:tcPr>
            <w:tcW w:w="6674"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Nomination Form</w:t>
            </w:r>
          </w:p>
        </w:tc>
        <w:tc>
          <w:tcPr>
            <w:tcW w:w="1560"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Form SH-13</w:t>
            </w:r>
          </w:p>
        </w:tc>
      </w:tr>
      <w:tr w:rsidR="00971B0C" w:rsidRPr="00CE555B" w:rsidTr="00971B0C">
        <w:tc>
          <w:tcPr>
            <w:tcW w:w="805" w:type="dxa"/>
          </w:tcPr>
          <w:p w:rsidR="00971B0C" w:rsidRPr="00CE555B" w:rsidRDefault="00971B0C" w:rsidP="00DB2B2C">
            <w:pPr>
              <w:widowControl w:val="0"/>
              <w:autoSpaceDE w:val="0"/>
              <w:autoSpaceDN w:val="0"/>
              <w:spacing w:after="0" w:line="226" w:lineRule="exact"/>
              <w:jc w:val="center"/>
              <w:rPr>
                <w:rFonts w:ascii="Times New Roman" w:hAnsi="Times New Roman" w:cs="Times New Roman"/>
                <w:color w:val="000000"/>
                <w:sz w:val="18"/>
              </w:rPr>
            </w:pPr>
            <w:r w:rsidRPr="00CE555B">
              <w:rPr>
                <w:rFonts w:ascii="Times New Roman" w:hAnsi="Times New Roman" w:cs="Times New Roman"/>
                <w:color w:val="000000"/>
                <w:sz w:val="18"/>
              </w:rPr>
              <w:t>5.</w:t>
            </w:r>
          </w:p>
        </w:tc>
        <w:tc>
          <w:tcPr>
            <w:tcW w:w="6674"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Cancellation or Variation of Nomination</w:t>
            </w:r>
          </w:p>
        </w:tc>
        <w:tc>
          <w:tcPr>
            <w:tcW w:w="1560" w:type="dxa"/>
          </w:tcPr>
          <w:p w:rsidR="00971B0C" w:rsidRPr="00CE555B" w:rsidRDefault="00971B0C" w:rsidP="00CE555B">
            <w:pPr>
              <w:widowControl w:val="0"/>
              <w:autoSpaceDE w:val="0"/>
              <w:autoSpaceDN w:val="0"/>
              <w:spacing w:after="0" w:line="226" w:lineRule="exact"/>
              <w:rPr>
                <w:rFonts w:ascii="Times New Roman" w:hAnsi="Times New Roman" w:cs="Times New Roman"/>
                <w:color w:val="000000"/>
                <w:sz w:val="18"/>
              </w:rPr>
            </w:pPr>
            <w:r w:rsidRPr="00CE555B">
              <w:rPr>
                <w:rFonts w:ascii="Times New Roman" w:hAnsi="Times New Roman" w:cs="Times New Roman"/>
                <w:color w:val="000000"/>
                <w:sz w:val="18"/>
              </w:rPr>
              <w:t>Form SH-14</w:t>
            </w:r>
          </w:p>
        </w:tc>
      </w:tr>
    </w:tbl>
    <w:p w:rsidR="00F565E2" w:rsidRPr="00DB2B2C" w:rsidRDefault="00F565E2" w:rsidP="00DB2B2C">
      <w:pPr>
        <w:widowControl w:val="0"/>
        <w:autoSpaceDE w:val="0"/>
        <w:autoSpaceDN w:val="0"/>
        <w:spacing w:after="0" w:line="226" w:lineRule="exact"/>
        <w:rPr>
          <w:rFonts w:ascii="Times New Roman" w:hAnsi="Times New Roman" w:cs="Times New Roman"/>
          <w:color w:val="000000"/>
          <w:sz w:val="18"/>
          <w:szCs w:val="18"/>
        </w:rPr>
      </w:pPr>
      <w:r w:rsidRPr="00DB2B2C">
        <w:rPr>
          <w:rFonts w:ascii="Times New Roman" w:hAnsi="Times New Roman" w:cs="Times New Roman"/>
          <w:color w:val="000000"/>
          <w:sz w:val="18"/>
          <w:szCs w:val="18"/>
        </w:rPr>
        <w:t xml:space="preserve">Copies of the Circular together with the relevant forms are available on the Company’s website and that of the </w:t>
      </w:r>
      <w:proofErr w:type="spellStart"/>
      <w:r w:rsidRPr="00DB2B2C">
        <w:rPr>
          <w:rFonts w:ascii="Times New Roman" w:hAnsi="Times New Roman" w:cs="Times New Roman"/>
          <w:color w:val="000000"/>
          <w:sz w:val="18"/>
          <w:szCs w:val="18"/>
        </w:rPr>
        <w:t>Sarthak</w:t>
      </w:r>
      <w:proofErr w:type="spellEnd"/>
      <w:r w:rsidRPr="00DB2B2C">
        <w:rPr>
          <w:rFonts w:ascii="Times New Roman" w:hAnsi="Times New Roman" w:cs="Times New Roman"/>
          <w:color w:val="000000"/>
          <w:sz w:val="18"/>
          <w:szCs w:val="18"/>
        </w:rPr>
        <w:t xml:space="preserve"> Global Limited at </w:t>
      </w:r>
      <w:hyperlink r:id="rId6" w:history="1">
        <w:r w:rsidRPr="00DB2B2C">
          <w:rPr>
            <w:rStyle w:val="Hyperlink"/>
            <w:rFonts w:ascii="Times New Roman" w:hAnsi="Times New Roman" w:cs="Times New Roman"/>
            <w:sz w:val="18"/>
            <w:szCs w:val="18"/>
          </w:rPr>
          <w:t>http://www.sarthakglobal.com/formats-for-kyc</w:t>
        </w:r>
      </w:hyperlink>
      <w:r w:rsidRPr="00DB2B2C">
        <w:rPr>
          <w:rFonts w:ascii="Times New Roman" w:hAnsi="Times New Roman" w:cs="Times New Roman"/>
          <w:color w:val="000000"/>
          <w:sz w:val="18"/>
          <w:szCs w:val="18"/>
        </w:rPr>
        <w:t xml:space="preserve"> </w:t>
      </w:r>
    </w:p>
    <w:p w:rsidR="007A0CCA" w:rsidRPr="00DB2B2C" w:rsidRDefault="00C15949" w:rsidP="00DB2B2C">
      <w:pPr>
        <w:widowControl w:val="0"/>
        <w:autoSpaceDE w:val="0"/>
        <w:autoSpaceDN w:val="0"/>
        <w:spacing w:after="0" w:line="226" w:lineRule="exact"/>
        <w:rPr>
          <w:rFonts w:ascii="Times New Roman" w:hAnsi="Times New Roman" w:cs="Times New Roman"/>
          <w:b/>
          <w:color w:val="000000"/>
          <w:sz w:val="18"/>
          <w:szCs w:val="18"/>
        </w:rPr>
      </w:pPr>
      <w:r w:rsidRPr="00DB2B2C">
        <w:rPr>
          <w:rFonts w:ascii="Times New Roman" w:hAnsi="Times New Roman" w:cs="Times New Roman"/>
          <w:b/>
          <w:color w:val="000000"/>
          <w:sz w:val="18"/>
          <w:szCs w:val="18"/>
        </w:rPr>
        <w:t xml:space="preserve">For Shares in </w:t>
      </w:r>
      <w:proofErr w:type="spellStart"/>
      <w:r w:rsidRPr="00DB2B2C">
        <w:rPr>
          <w:rFonts w:ascii="Times New Roman" w:hAnsi="Times New Roman" w:cs="Times New Roman"/>
          <w:b/>
          <w:color w:val="000000"/>
          <w:sz w:val="18"/>
          <w:szCs w:val="18"/>
        </w:rPr>
        <w:t>Dematerialised</w:t>
      </w:r>
      <w:proofErr w:type="spellEnd"/>
      <w:r w:rsidRPr="00DB2B2C">
        <w:rPr>
          <w:rFonts w:ascii="Times New Roman" w:hAnsi="Times New Roman" w:cs="Times New Roman"/>
          <w:b/>
          <w:color w:val="000000"/>
          <w:sz w:val="18"/>
          <w:szCs w:val="18"/>
        </w:rPr>
        <w:t xml:space="preserve"> Form request may be sent to the Depository Participant where the</w:t>
      </w:r>
      <w:r w:rsidR="00CE555B" w:rsidRPr="00DB2B2C">
        <w:rPr>
          <w:rFonts w:ascii="Times New Roman" w:hAnsi="Times New Roman" w:cs="Times New Roman"/>
          <w:b/>
          <w:color w:val="000000"/>
          <w:sz w:val="18"/>
          <w:szCs w:val="18"/>
        </w:rPr>
        <w:t xml:space="preserve"> </w:t>
      </w:r>
      <w:r w:rsidRPr="00DB2B2C">
        <w:rPr>
          <w:rFonts w:ascii="Times New Roman" w:hAnsi="Times New Roman" w:cs="Times New Roman"/>
          <w:b/>
          <w:color w:val="000000"/>
          <w:sz w:val="18"/>
          <w:szCs w:val="18"/>
        </w:rPr>
        <w:t>shareholder is having ac</w:t>
      </w:r>
      <w:r w:rsidR="00F02CFD" w:rsidRPr="00DB2B2C">
        <w:rPr>
          <w:rFonts w:ascii="Times New Roman" w:hAnsi="Times New Roman" w:cs="Times New Roman"/>
          <w:b/>
          <w:color w:val="000000"/>
          <w:sz w:val="18"/>
          <w:szCs w:val="18"/>
        </w:rPr>
        <w:t>count for dematerialized shares.</w:t>
      </w:r>
    </w:p>
    <w:p w:rsidR="006F411C" w:rsidRPr="00DB2B2C" w:rsidRDefault="00C67947" w:rsidP="00DB2B2C">
      <w:pPr>
        <w:widowControl w:val="0"/>
        <w:autoSpaceDE w:val="0"/>
        <w:autoSpaceDN w:val="0"/>
        <w:spacing w:after="0" w:line="226" w:lineRule="exact"/>
        <w:rPr>
          <w:rFonts w:ascii="Times New Roman" w:hAnsi="Times New Roman" w:cs="Times New Roman"/>
          <w:b/>
          <w:color w:val="000000"/>
          <w:sz w:val="18"/>
          <w:szCs w:val="18"/>
        </w:rPr>
      </w:pPr>
      <w:r w:rsidRPr="00DB2B2C">
        <w:rPr>
          <w:rFonts w:ascii="Times New Roman" w:hAnsi="Times New Roman" w:cs="Times New Roman"/>
          <w:b/>
          <w:color w:val="000000"/>
          <w:sz w:val="18"/>
          <w:szCs w:val="18"/>
        </w:rPr>
        <w:t>Freezing of Folios without PAN, KYC details of Nomination</w:t>
      </w:r>
    </w:p>
    <w:p w:rsidR="00C67947" w:rsidRPr="006F411C" w:rsidRDefault="00C67947" w:rsidP="00DB2B2C">
      <w:pPr>
        <w:widowControl w:val="0"/>
        <w:autoSpaceDE w:val="0"/>
        <w:autoSpaceDN w:val="0"/>
        <w:spacing w:after="0" w:line="226" w:lineRule="exact"/>
        <w:rPr>
          <w:rFonts w:ascii="Times New Roman" w:hAnsi="Times New Roman" w:cs="Times New Roman"/>
          <w:color w:val="000000"/>
          <w:sz w:val="18"/>
          <w:szCs w:val="18"/>
        </w:rPr>
      </w:pPr>
      <w:r w:rsidRPr="006F411C">
        <w:rPr>
          <w:rFonts w:ascii="Times New Roman" w:hAnsi="Times New Roman" w:cs="Times New Roman"/>
          <w:color w:val="000000"/>
          <w:sz w:val="18"/>
          <w:szCs w:val="18"/>
        </w:rPr>
        <w:t>Folios wherein any one of the above-mentioned documents / details are not available on or aft</w:t>
      </w:r>
      <w:bookmarkStart w:id="0" w:name="_GoBack"/>
      <w:bookmarkEnd w:id="0"/>
      <w:r w:rsidRPr="006F411C">
        <w:rPr>
          <w:rFonts w:ascii="Times New Roman" w:hAnsi="Times New Roman" w:cs="Times New Roman"/>
          <w:color w:val="000000"/>
          <w:sz w:val="18"/>
          <w:szCs w:val="18"/>
        </w:rPr>
        <w:t>er1</w:t>
      </w:r>
      <w:r w:rsidRPr="006F411C">
        <w:rPr>
          <w:rFonts w:ascii="Times New Roman" w:hAnsi="Times New Roman" w:cs="Times New Roman"/>
          <w:color w:val="000000"/>
          <w:sz w:val="18"/>
          <w:szCs w:val="18"/>
          <w:vertAlign w:val="superscript"/>
        </w:rPr>
        <w:t>st</w:t>
      </w:r>
      <w:r w:rsidRPr="006F411C">
        <w:rPr>
          <w:rFonts w:ascii="Times New Roman" w:hAnsi="Times New Roman" w:cs="Times New Roman"/>
          <w:color w:val="000000"/>
          <w:sz w:val="18"/>
          <w:szCs w:val="18"/>
        </w:rPr>
        <w:t xml:space="preserve"> April, 2023 shall be frozen by </w:t>
      </w:r>
      <w:r w:rsidR="00721CFE">
        <w:rPr>
          <w:rFonts w:ascii="Times New Roman" w:hAnsi="Times New Roman" w:cs="Times New Roman"/>
          <w:color w:val="000000"/>
          <w:sz w:val="18"/>
          <w:szCs w:val="18"/>
        </w:rPr>
        <w:t xml:space="preserve">RTA </w:t>
      </w:r>
      <w:r w:rsidRPr="006F411C">
        <w:rPr>
          <w:rFonts w:ascii="Times New Roman" w:hAnsi="Times New Roman" w:cs="Times New Roman"/>
          <w:color w:val="000000"/>
          <w:sz w:val="18"/>
          <w:szCs w:val="18"/>
        </w:rPr>
        <w:t xml:space="preserve">in terms of aforementioned circular. The frozen folios shall be referred by </w:t>
      </w:r>
      <w:r w:rsidR="00721CFE">
        <w:rPr>
          <w:rFonts w:ascii="Times New Roman" w:hAnsi="Times New Roman" w:cs="Times New Roman"/>
          <w:color w:val="000000"/>
          <w:sz w:val="18"/>
          <w:szCs w:val="18"/>
        </w:rPr>
        <w:t>RTA</w:t>
      </w:r>
      <w:r w:rsidRPr="006F411C">
        <w:rPr>
          <w:rFonts w:ascii="Times New Roman" w:hAnsi="Times New Roman" w:cs="Times New Roman"/>
          <w:color w:val="000000"/>
          <w:sz w:val="18"/>
          <w:szCs w:val="18"/>
        </w:rPr>
        <w:t xml:space="preserve"> to the administering authority under the </w:t>
      </w:r>
      <w:proofErr w:type="spellStart"/>
      <w:r w:rsidRPr="006F411C">
        <w:rPr>
          <w:rFonts w:ascii="Times New Roman" w:hAnsi="Times New Roman" w:cs="Times New Roman"/>
          <w:color w:val="000000"/>
          <w:sz w:val="18"/>
          <w:szCs w:val="18"/>
        </w:rPr>
        <w:t>Benami</w:t>
      </w:r>
      <w:proofErr w:type="spellEnd"/>
      <w:r w:rsidRPr="006F411C">
        <w:rPr>
          <w:rFonts w:ascii="Times New Roman" w:hAnsi="Times New Roman" w:cs="Times New Roman"/>
          <w:color w:val="000000"/>
          <w:sz w:val="18"/>
          <w:szCs w:val="18"/>
        </w:rPr>
        <w:t xml:space="preserve"> Transaction (Prohibition) Act, 1988 and/or Prevention of Money Laundering Act, 2002, if they continue to remain frozen as on 31</w:t>
      </w:r>
      <w:r w:rsidRPr="006F411C">
        <w:rPr>
          <w:rFonts w:ascii="Times New Roman" w:hAnsi="Times New Roman" w:cs="Times New Roman"/>
          <w:color w:val="000000"/>
          <w:sz w:val="18"/>
          <w:szCs w:val="18"/>
          <w:vertAlign w:val="superscript"/>
        </w:rPr>
        <w:t>st</w:t>
      </w:r>
      <w:r w:rsidRPr="006F411C">
        <w:rPr>
          <w:rFonts w:ascii="Times New Roman" w:hAnsi="Times New Roman" w:cs="Times New Roman"/>
          <w:color w:val="000000"/>
          <w:sz w:val="18"/>
          <w:szCs w:val="18"/>
        </w:rPr>
        <w:t xml:space="preserve"> December, 2025.</w:t>
      </w:r>
    </w:p>
    <w:p w:rsidR="00C67947" w:rsidRPr="00DB2B2C" w:rsidRDefault="00C67947" w:rsidP="00DB2B2C">
      <w:pPr>
        <w:widowControl w:val="0"/>
        <w:autoSpaceDE w:val="0"/>
        <w:autoSpaceDN w:val="0"/>
        <w:spacing w:after="0" w:line="226" w:lineRule="exact"/>
        <w:rPr>
          <w:rFonts w:ascii="Times New Roman" w:hAnsi="Times New Roman" w:cs="Times New Roman"/>
          <w:b/>
          <w:color w:val="000000"/>
          <w:sz w:val="18"/>
          <w:szCs w:val="18"/>
        </w:rPr>
      </w:pPr>
      <w:r w:rsidRPr="00DB2B2C">
        <w:rPr>
          <w:rFonts w:ascii="Times New Roman" w:hAnsi="Times New Roman" w:cs="Times New Roman"/>
          <w:b/>
          <w:color w:val="000000"/>
          <w:sz w:val="18"/>
          <w:szCs w:val="18"/>
        </w:rPr>
        <w:t xml:space="preserve">Compulsory linking of PAN and </w:t>
      </w:r>
      <w:proofErr w:type="spellStart"/>
      <w:r w:rsidRPr="00DB2B2C">
        <w:rPr>
          <w:rFonts w:ascii="Times New Roman" w:hAnsi="Times New Roman" w:cs="Times New Roman"/>
          <w:b/>
          <w:color w:val="000000"/>
          <w:sz w:val="18"/>
          <w:szCs w:val="18"/>
        </w:rPr>
        <w:t>Aadhaar</w:t>
      </w:r>
      <w:proofErr w:type="spellEnd"/>
      <w:r w:rsidRPr="00DB2B2C">
        <w:rPr>
          <w:rFonts w:ascii="Times New Roman" w:hAnsi="Times New Roman" w:cs="Times New Roman"/>
          <w:b/>
          <w:color w:val="000000"/>
          <w:sz w:val="18"/>
          <w:szCs w:val="18"/>
        </w:rPr>
        <w:t xml:space="preserve"> by all shareholders in physical mode</w:t>
      </w:r>
    </w:p>
    <w:p w:rsidR="006F411C" w:rsidRPr="006F411C" w:rsidRDefault="00C67947" w:rsidP="00DB2B2C">
      <w:pPr>
        <w:widowControl w:val="0"/>
        <w:autoSpaceDE w:val="0"/>
        <w:autoSpaceDN w:val="0"/>
        <w:spacing w:after="0" w:line="226" w:lineRule="exact"/>
        <w:rPr>
          <w:rFonts w:ascii="Times New Roman" w:hAnsi="Times New Roman" w:cs="Times New Roman"/>
          <w:color w:val="000000"/>
          <w:sz w:val="18"/>
          <w:szCs w:val="18"/>
        </w:rPr>
      </w:pPr>
      <w:r w:rsidRPr="006F411C">
        <w:rPr>
          <w:rFonts w:ascii="Times New Roman" w:hAnsi="Times New Roman" w:cs="Times New Roman"/>
          <w:color w:val="000000"/>
          <w:sz w:val="18"/>
          <w:szCs w:val="18"/>
        </w:rPr>
        <w:t>From 31</w:t>
      </w:r>
      <w:r w:rsidRPr="006F411C">
        <w:rPr>
          <w:rFonts w:ascii="Times New Roman" w:hAnsi="Times New Roman" w:cs="Times New Roman"/>
          <w:color w:val="000000"/>
          <w:sz w:val="18"/>
          <w:szCs w:val="18"/>
          <w:vertAlign w:val="superscript"/>
        </w:rPr>
        <w:t>st</w:t>
      </w:r>
      <w:r w:rsidRPr="006F411C">
        <w:rPr>
          <w:rFonts w:ascii="Times New Roman" w:hAnsi="Times New Roman" w:cs="Times New Roman"/>
          <w:color w:val="000000"/>
          <w:sz w:val="18"/>
          <w:szCs w:val="18"/>
        </w:rPr>
        <w:t xml:space="preserve"> March, 2022 </w:t>
      </w:r>
      <w:r w:rsidR="00721CFE">
        <w:rPr>
          <w:rFonts w:ascii="Times New Roman" w:hAnsi="Times New Roman" w:cs="Times New Roman"/>
          <w:color w:val="000000"/>
          <w:sz w:val="18"/>
          <w:szCs w:val="18"/>
        </w:rPr>
        <w:t>RTA</w:t>
      </w:r>
      <w:r w:rsidRPr="006F411C">
        <w:rPr>
          <w:rFonts w:ascii="Times New Roman" w:hAnsi="Times New Roman" w:cs="Times New Roman"/>
          <w:color w:val="000000"/>
          <w:sz w:val="18"/>
          <w:szCs w:val="18"/>
        </w:rPr>
        <w:t xml:space="preserve"> will accept only valid PAN and also verify that the PAN in the existing folios are valid i.e. whether it is linked to the </w:t>
      </w:r>
      <w:proofErr w:type="spellStart"/>
      <w:r w:rsidRPr="006F411C">
        <w:rPr>
          <w:rFonts w:ascii="Times New Roman" w:hAnsi="Times New Roman" w:cs="Times New Roman"/>
          <w:color w:val="000000"/>
          <w:sz w:val="18"/>
          <w:szCs w:val="18"/>
        </w:rPr>
        <w:t>Aadhaar</w:t>
      </w:r>
      <w:proofErr w:type="spellEnd"/>
      <w:r w:rsidRPr="006F411C">
        <w:rPr>
          <w:rFonts w:ascii="Times New Roman" w:hAnsi="Times New Roman" w:cs="Times New Roman"/>
          <w:color w:val="000000"/>
          <w:sz w:val="18"/>
          <w:szCs w:val="18"/>
        </w:rPr>
        <w:t xml:space="preserve"> number of the shareholders. The folios in which PAN is not valid as on the notified cut-off date of 31</w:t>
      </w:r>
      <w:r w:rsidRPr="006F411C">
        <w:rPr>
          <w:rFonts w:ascii="Times New Roman" w:hAnsi="Times New Roman" w:cs="Times New Roman"/>
          <w:color w:val="000000"/>
          <w:sz w:val="18"/>
          <w:szCs w:val="18"/>
          <w:vertAlign w:val="superscript"/>
        </w:rPr>
        <w:t>st</w:t>
      </w:r>
      <w:r w:rsidRPr="006F411C">
        <w:rPr>
          <w:rFonts w:ascii="Times New Roman" w:hAnsi="Times New Roman" w:cs="Times New Roman"/>
          <w:color w:val="000000"/>
          <w:sz w:val="18"/>
          <w:szCs w:val="18"/>
        </w:rPr>
        <w:t xml:space="preserve"> March, 2022 or any other dates as may be specified by the Central Board of Direct Taxes, will be frozen.</w:t>
      </w:r>
    </w:p>
    <w:p w:rsidR="00C67947" w:rsidRPr="00DB2B2C" w:rsidRDefault="00C67947" w:rsidP="00DB2B2C">
      <w:pPr>
        <w:widowControl w:val="0"/>
        <w:autoSpaceDE w:val="0"/>
        <w:autoSpaceDN w:val="0"/>
        <w:spacing w:after="0" w:line="226" w:lineRule="exact"/>
        <w:rPr>
          <w:rFonts w:ascii="Times New Roman" w:hAnsi="Times New Roman" w:cs="Times New Roman"/>
          <w:b/>
          <w:color w:val="000000"/>
          <w:sz w:val="18"/>
          <w:szCs w:val="18"/>
        </w:rPr>
      </w:pPr>
      <w:r w:rsidRPr="00DB2B2C">
        <w:rPr>
          <w:rFonts w:ascii="Times New Roman" w:hAnsi="Times New Roman" w:cs="Times New Roman"/>
          <w:b/>
          <w:color w:val="000000"/>
          <w:sz w:val="18"/>
          <w:szCs w:val="18"/>
        </w:rPr>
        <w:t>Mandatory furnishing of PAN</w:t>
      </w:r>
      <w:r w:rsidR="006F411C" w:rsidRPr="00DB2B2C">
        <w:rPr>
          <w:rFonts w:ascii="Times New Roman" w:hAnsi="Times New Roman" w:cs="Times New Roman"/>
          <w:b/>
          <w:color w:val="000000"/>
          <w:sz w:val="18"/>
          <w:szCs w:val="18"/>
        </w:rPr>
        <w:t xml:space="preserve">, KYC details and Nomination by holders of physical securities </w:t>
      </w:r>
    </w:p>
    <w:p w:rsidR="006F411C" w:rsidRPr="006F411C" w:rsidRDefault="007A0CCA" w:rsidP="00DB2B2C">
      <w:pPr>
        <w:widowControl w:val="0"/>
        <w:autoSpaceDE w:val="0"/>
        <w:autoSpaceDN w:val="0"/>
        <w:spacing w:after="0" w:line="226" w:lineRule="exact"/>
        <w:rPr>
          <w:rFonts w:ascii="Times New Roman" w:hAnsi="Times New Roman" w:cs="Times New Roman"/>
          <w:color w:val="000000"/>
          <w:sz w:val="18"/>
          <w:szCs w:val="18"/>
        </w:rPr>
      </w:pPr>
      <w:r>
        <w:rPr>
          <w:rFonts w:ascii="Times New Roman" w:hAnsi="Times New Roman" w:cs="Times New Roman"/>
          <w:color w:val="000000"/>
          <w:sz w:val="18"/>
          <w:szCs w:val="18"/>
        </w:rPr>
        <w:t>As per the aforesaid SEBI circular</w:t>
      </w:r>
      <w:r w:rsidR="006F411C" w:rsidRPr="006F411C">
        <w:rPr>
          <w:rFonts w:ascii="Times New Roman" w:hAnsi="Times New Roman" w:cs="Times New Roman"/>
          <w:color w:val="000000"/>
          <w:sz w:val="18"/>
          <w:szCs w:val="18"/>
        </w:rPr>
        <w:t xml:space="preserve"> the RTA shall not process any service request or complaint received from the holder(s) / claimant(s) until PAN, KYC and Nomination documents/ details are received.</w:t>
      </w:r>
    </w:p>
    <w:p w:rsidR="00B378AB" w:rsidRDefault="00721CFE" w:rsidP="00B378AB">
      <w:pPr>
        <w:widowControl w:val="0"/>
        <w:autoSpaceDE w:val="0"/>
        <w:autoSpaceDN w:val="0"/>
        <w:spacing w:after="0" w:line="226"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In view of the above, please submit the above desired documents </w:t>
      </w:r>
      <w:r w:rsidR="00735F44">
        <w:rPr>
          <w:rFonts w:ascii="Times New Roman" w:hAnsi="Times New Roman" w:cs="Times New Roman"/>
          <w:color w:val="000000"/>
          <w:sz w:val="18"/>
          <w:szCs w:val="18"/>
        </w:rPr>
        <w:t>to</w:t>
      </w:r>
      <w:r>
        <w:rPr>
          <w:rFonts w:ascii="Times New Roman" w:hAnsi="Times New Roman" w:cs="Times New Roman"/>
          <w:color w:val="000000"/>
          <w:sz w:val="18"/>
          <w:szCs w:val="18"/>
        </w:rPr>
        <w:t xml:space="preserve"> RTA by any one of the following modes:</w:t>
      </w:r>
    </w:p>
    <w:p w:rsidR="00721CFE" w:rsidRDefault="00721CFE" w:rsidP="00721CFE">
      <w:pPr>
        <w:pStyle w:val="ListParagraph"/>
        <w:widowControl w:val="0"/>
        <w:numPr>
          <w:ilvl w:val="0"/>
          <w:numId w:val="3"/>
        </w:numPr>
        <w:autoSpaceDE w:val="0"/>
        <w:autoSpaceDN w:val="0"/>
        <w:spacing w:after="0" w:line="226" w:lineRule="exact"/>
        <w:rPr>
          <w:rFonts w:ascii="Times New Roman" w:hAnsi="Times New Roman" w:cs="Times New Roman"/>
          <w:color w:val="000000"/>
          <w:sz w:val="18"/>
          <w:szCs w:val="18"/>
        </w:rPr>
      </w:pPr>
      <w:r>
        <w:rPr>
          <w:rFonts w:ascii="Times New Roman" w:hAnsi="Times New Roman" w:cs="Times New Roman"/>
          <w:color w:val="000000"/>
          <w:sz w:val="18"/>
          <w:szCs w:val="18"/>
        </w:rPr>
        <w:t>Through hard copies which should be self-attested and dated.</w:t>
      </w:r>
    </w:p>
    <w:p w:rsidR="00291382" w:rsidRDefault="00721CFE" w:rsidP="00291382">
      <w:pPr>
        <w:pStyle w:val="ListParagraph"/>
        <w:widowControl w:val="0"/>
        <w:numPr>
          <w:ilvl w:val="0"/>
          <w:numId w:val="3"/>
        </w:numPr>
        <w:autoSpaceDE w:val="0"/>
        <w:autoSpaceDN w:val="0"/>
        <w:spacing w:after="0" w:line="226" w:lineRule="exact"/>
        <w:rPr>
          <w:rFonts w:ascii="Times New Roman" w:hAnsi="Times New Roman" w:cs="Times New Roman"/>
          <w:color w:val="000000"/>
          <w:sz w:val="18"/>
          <w:szCs w:val="18"/>
        </w:rPr>
      </w:pPr>
      <w:r>
        <w:rPr>
          <w:rFonts w:ascii="Times New Roman" w:hAnsi="Times New Roman" w:cs="Times New Roman"/>
          <w:color w:val="000000"/>
          <w:sz w:val="18"/>
          <w:szCs w:val="18"/>
        </w:rPr>
        <w:t xml:space="preserve">Thorough electronic mode, provided that they </w:t>
      </w:r>
      <w:r w:rsidR="00291382">
        <w:rPr>
          <w:rFonts w:ascii="Times New Roman" w:hAnsi="Times New Roman" w:cs="Times New Roman"/>
          <w:color w:val="000000"/>
          <w:sz w:val="18"/>
          <w:szCs w:val="18"/>
        </w:rPr>
        <w:t>are sent through email id of the holder registered with RTA and all documents should be electronically/digitally signed by the shareholder and in case of joint holders, by the first joint holder.</w:t>
      </w:r>
    </w:p>
    <w:p w:rsidR="00291382" w:rsidRDefault="00291382" w:rsidP="00291382">
      <w:pPr>
        <w:widowControl w:val="0"/>
        <w:autoSpaceDE w:val="0"/>
        <w:autoSpaceDN w:val="0"/>
        <w:spacing w:after="0" w:line="226" w:lineRule="exact"/>
        <w:rPr>
          <w:rFonts w:ascii="Times New Roman" w:hAnsi="Times New Roman" w:cs="Times New Roman"/>
          <w:color w:val="000000"/>
          <w:sz w:val="18"/>
          <w:szCs w:val="18"/>
        </w:rPr>
      </w:pPr>
      <w:r>
        <w:rPr>
          <w:rFonts w:ascii="Times New Roman" w:hAnsi="Times New Roman" w:cs="Times New Roman"/>
          <w:color w:val="000000"/>
          <w:sz w:val="18"/>
          <w:szCs w:val="18"/>
        </w:rPr>
        <w:t>Please note the following contact details of our RTA to submit your PAN/KYC/Nomination/Bank details etc.:</w:t>
      </w:r>
    </w:p>
    <w:p w:rsidR="00291382" w:rsidRPr="00F02CFD" w:rsidRDefault="00291382" w:rsidP="00291382">
      <w:pPr>
        <w:pStyle w:val="NoSpacing"/>
        <w:rPr>
          <w:rFonts w:ascii="Times New Roman" w:hAnsi="Times New Roman" w:cs="Times New Roman"/>
          <w:sz w:val="10"/>
          <w:szCs w:val="18"/>
        </w:rPr>
      </w:pPr>
    </w:p>
    <w:p w:rsidR="00291382" w:rsidRPr="00291382" w:rsidRDefault="00291382" w:rsidP="00291382">
      <w:pPr>
        <w:pStyle w:val="NoSpacing"/>
        <w:rPr>
          <w:rFonts w:ascii="Times New Roman" w:hAnsi="Times New Roman" w:cs="Times New Roman"/>
          <w:b/>
          <w:sz w:val="18"/>
          <w:szCs w:val="18"/>
        </w:rPr>
      </w:pPr>
      <w:proofErr w:type="spellStart"/>
      <w:r w:rsidRPr="00291382">
        <w:rPr>
          <w:rFonts w:ascii="Times New Roman" w:hAnsi="Times New Roman" w:cs="Times New Roman"/>
          <w:b/>
          <w:sz w:val="18"/>
          <w:szCs w:val="18"/>
        </w:rPr>
        <w:t>Sarthak</w:t>
      </w:r>
      <w:proofErr w:type="spellEnd"/>
      <w:r w:rsidRPr="00291382">
        <w:rPr>
          <w:rFonts w:ascii="Times New Roman" w:hAnsi="Times New Roman" w:cs="Times New Roman"/>
          <w:b/>
          <w:sz w:val="18"/>
          <w:szCs w:val="18"/>
        </w:rPr>
        <w:t xml:space="preserve"> Global Limited</w:t>
      </w:r>
    </w:p>
    <w:p w:rsidR="00291382" w:rsidRPr="00291382" w:rsidRDefault="00291382" w:rsidP="00291382">
      <w:pPr>
        <w:pStyle w:val="NoSpacing"/>
        <w:rPr>
          <w:rFonts w:ascii="Times New Roman" w:hAnsi="Times New Roman" w:cs="Times New Roman"/>
          <w:sz w:val="18"/>
          <w:szCs w:val="18"/>
        </w:rPr>
      </w:pPr>
      <w:r w:rsidRPr="00291382">
        <w:rPr>
          <w:rFonts w:ascii="Times New Roman" w:hAnsi="Times New Roman" w:cs="Times New Roman"/>
          <w:sz w:val="18"/>
          <w:szCs w:val="18"/>
        </w:rPr>
        <w:t xml:space="preserve">170/10, Film Colony, R.N.T. Marg, </w:t>
      </w:r>
    </w:p>
    <w:p w:rsidR="00291382" w:rsidRPr="00291382" w:rsidRDefault="00291382" w:rsidP="00291382">
      <w:pPr>
        <w:pStyle w:val="NoSpacing"/>
        <w:rPr>
          <w:rFonts w:ascii="Times New Roman" w:hAnsi="Times New Roman" w:cs="Times New Roman"/>
          <w:sz w:val="18"/>
          <w:szCs w:val="18"/>
        </w:rPr>
      </w:pPr>
      <w:r w:rsidRPr="00291382">
        <w:rPr>
          <w:rFonts w:ascii="Times New Roman" w:hAnsi="Times New Roman" w:cs="Times New Roman"/>
          <w:sz w:val="18"/>
          <w:szCs w:val="18"/>
        </w:rPr>
        <w:t xml:space="preserve">Indore – 452001 </w:t>
      </w:r>
    </w:p>
    <w:p w:rsidR="00291382" w:rsidRPr="00291382" w:rsidRDefault="00291382" w:rsidP="00291382">
      <w:pPr>
        <w:pStyle w:val="NoSpacing"/>
        <w:rPr>
          <w:rStyle w:val="Hyperlink"/>
          <w:rFonts w:ascii="Times New Roman" w:hAnsi="Times New Roman" w:cs="Times New Roman"/>
          <w:sz w:val="18"/>
          <w:szCs w:val="18"/>
        </w:rPr>
      </w:pPr>
      <w:proofErr w:type="gramStart"/>
      <w:r w:rsidRPr="00291382">
        <w:rPr>
          <w:rFonts w:ascii="Times New Roman" w:hAnsi="Times New Roman" w:cs="Times New Roman"/>
          <w:sz w:val="18"/>
          <w:szCs w:val="18"/>
        </w:rPr>
        <w:t>email</w:t>
      </w:r>
      <w:proofErr w:type="gramEnd"/>
      <w:r w:rsidRPr="00291382">
        <w:rPr>
          <w:rFonts w:ascii="Times New Roman" w:hAnsi="Times New Roman" w:cs="Times New Roman"/>
          <w:sz w:val="18"/>
          <w:szCs w:val="18"/>
        </w:rPr>
        <w:t xml:space="preserve"> id: </w:t>
      </w:r>
      <w:hyperlink r:id="rId7" w:history="1">
        <w:r w:rsidR="009B12BB" w:rsidRPr="003D3D12">
          <w:rPr>
            <w:rStyle w:val="Hyperlink"/>
            <w:rFonts w:ascii="Times New Roman" w:hAnsi="Times New Roman" w:cs="Times New Roman"/>
            <w:sz w:val="18"/>
            <w:szCs w:val="18"/>
          </w:rPr>
          <w:t>investors@sarthakglobal.com</w:t>
        </w:r>
      </w:hyperlink>
    </w:p>
    <w:p w:rsidR="00B378AB" w:rsidRDefault="00291382" w:rsidP="00F02CFD">
      <w:pPr>
        <w:pStyle w:val="NoSpacing"/>
        <w:rPr>
          <w:rFonts w:ascii="Trebuchet MS"/>
          <w:b/>
          <w:color w:val="000000"/>
          <w:sz w:val="19"/>
        </w:rPr>
      </w:pPr>
      <w:r w:rsidRPr="00291382">
        <w:rPr>
          <w:rFonts w:ascii="Times New Roman" w:hAnsi="Times New Roman" w:cs="Times New Roman"/>
          <w:sz w:val="18"/>
          <w:szCs w:val="18"/>
        </w:rPr>
        <w:t>Phone No.: +91731-4279626</w:t>
      </w:r>
    </w:p>
    <w:sectPr w:rsidR="00B378AB" w:rsidSect="00434EC5">
      <w:pgSz w:w="12240" w:h="15840"/>
      <w:pgMar w:top="624" w:right="1168" w:bottom="448" w:left="11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14E83"/>
    <w:multiLevelType w:val="hybridMultilevel"/>
    <w:tmpl w:val="BCFCB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686ACD"/>
    <w:multiLevelType w:val="hybridMultilevel"/>
    <w:tmpl w:val="4A2A99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0F57CC"/>
    <w:multiLevelType w:val="hybridMultilevel"/>
    <w:tmpl w:val="ED7C5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DE"/>
    <w:rsid w:val="001060E4"/>
    <w:rsid w:val="00283933"/>
    <w:rsid w:val="00291382"/>
    <w:rsid w:val="00400BF9"/>
    <w:rsid w:val="00434EC5"/>
    <w:rsid w:val="00613DDE"/>
    <w:rsid w:val="006B720C"/>
    <w:rsid w:val="006F411C"/>
    <w:rsid w:val="00721CFE"/>
    <w:rsid w:val="00735F44"/>
    <w:rsid w:val="00745BC4"/>
    <w:rsid w:val="007A0CCA"/>
    <w:rsid w:val="00846310"/>
    <w:rsid w:val="00921930"/>
    <w:rsid w:val="00971B0C"/>
    <w:rsid w:val="009B12BB"/>
    <w:rsid w:val="00B378AB"/>
    <w:rsid w:val="00B5054C"/>
    <w:rsid w:val="00C15949"/>
    <w:rsid w:val="00C67947"/>
    <w:rsid w:val="00CE555B"/>
    <w:rsid w:val="00D13E06"/>
    <w:rsid w:val="00DB2B2C"/>
    <w:rsid w:val="00E312D3"/>
    <w:rsid w:val="00F02CFD"/>
    <w:rsid w:val="00F210AC"/>
    <w:rsid w:val="00F565E2"/>
    <w:rsid w:val="00F95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949"/>
    <w:pPr>
      <w:spacing w:before="120" w:after="240"/>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49"/>
    <w:pPr>
      <w:ind w:left="720"/>
      <w:contextualSpacing/>
    </w:pPr>
  </w:style>
  <w:style w:type="table" w:styleId="TableGrid">
    <w:name w:val="Table Grid"/>
    <w:basedOn w:val="TableNormal"/>
    <w:uiPriority w:val="39"/>
    <w:rsid w:val="00CE5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55B"/>
    <w:rPr>
      <w:color w:val="0000FF"/>
      <w:u w:val="single"/>
    </w:rPr>
  </w:style>
  <w:style w:type="paragraph" w:styleId="NoSpacing">
    <w:name w:val="No Spacing"/>
    <w:uiPriority w:val="1"/>
    <w:qFormat/>
    <w:rsid w:val="00291382"/>
    <w:pPr>
      <w:spacing w:after="0" w:line="240" w:lineRule="auto"/>
      <w:jc w:val="both"/>
    </w:pPr>
    <w:rPr>
      <w:rFonts w:eastAsiaTheme="minorEastAsia"/>
    </w:rPr>
  </w:style>
  <w:style w:type="paragraph" w:styleId="BalloonText">
    <w:name w:val="Balloon Text"/>
    <w:basedOn w:val="Normal"/>
    <w:link w:val="BalloonTextChar"/>
    <w:uiPriority w:val="99"/>
    <w:semiHidden/>
    <w:unhideWhenUsed/>
    <w:rsid w:val="007A0C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CA"/>
    <w:rPr>
      <w:rFonts w:ascii="Segoe UI" w:eastAsiaTheme="minorEastAsi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5949"/>
    <w:pPr>
      <w:spacing w:before="120" w:after="240"/>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949"/>
    <w:pPr>
      <w:ind w:left="720"/>
      <w:contextualSpacing/>
    </w:pPr>
  </w:style>
  <w:style w:type="table" w:styleId="TableGrid">
    <w:name w:val="Table Grid"/>
    <w:basedOn w:val="TableNormal"/>
    <w:uiPriority w:val="39"/>
    <w:rsid w:val="00CE55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E555B"/>
    <w:rPr>
      <w:color w:val="0000FF"/>
      <w:u w:val="single"/>
    </w:rPr>
  </w:style>
  <w:style w:type="paragraph" w:styleId="NoSpacing">
    <w:name w:val="No Spacing"/>
    <w:uiPriority w:val="1"/>
    <w:qFormat/>
    <w:rsid w:val="00291382"/>
    <w:pPr>
      <w:spacing w:after="0" w:line="240" w:lineRule="auto"/>
      <w:jc w:val="both"/>
    </w:pPr>
    <w:rPr>
      <w:rFonts w:eastAsiaTheme="minorEastAsia"/>
    </w:rPr>
  </w:style>
  <w:style w:type="paragraph" w:styleId="BalloonText">
    <w:name w:val="Balloon Text"/>
    <w:basedOn w:val="Normal"/>
    <w:link w:val="BalloonTextChar"/>
    <w:uiPriority w:val="99"/>
    <w:semiHidden/>
    <w:unhideWhenUsed/>
    <w:rsid w:val="007A0C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CC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vestors@sarthak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thakglobal.com/formats-for-ky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Dharmendra Soyal</dc:creator>
  <cp:keywords/>
  <dc:description/>
  <cp:lastModifiedBy>Neeraj Jain</cp:lastModifiedBy>
  <cp:revision>24</cp:revision>
  <cp:lastPrinted>2022-01-15T12:40:00Z</cp:lastPrinted>
  <dcterms:created xsi:type="dcterms:W3CDTF">2022-01-14T09:38:00Z</dcterms:created>
  <dcterms:modified xsi:type="dcterms:W3CDTF">2022-02-03T05:00:00Z</dcterms:modified>
</cp:coreProperties>
</file>